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rPr>
          <w:rFonts w:ascii="Tahoma" w:cs="Tahoma" w:eastAsia="Tahoma" w:hAnsi="Tahoma"/>
        </w:rPr>
      </w:pPr>
      <w:r w:rsidDel="00000000" w:rsidR="00000000" w:rsidRPr="00000000">
        <w:rPr>
          <w:rtl w:val="0"/>
        </w:rPr>
      </w:r>
    </w:p>
    <w:p w:rsidR="00000000" w:rsidDel="00000000" w:rsidP="00000000" w:rsidRDefault="00000000" w:rsidRPr="00000000" w14:paraId="00000002">
      <w:pPr>
        <w:pStyle w:val="Title"/>
        <w:rPr>
          <w:rFonts w:ascii="Tahoma" w:cs="Tahoma" w:eastAsia="Tahoma" w:hAnsi="Tahoma"/>
          <w:b w:val="1"/>
        </w:rPr>
      </w:pPr>
      <w:r w:rsidDel="00000000" w:rsidR="00000000" w:rsidRPr="00000000">
        <w:rPr>
          <w:rFonts w:ascii="Tahoma" w:cs="Tahoma" w:eastAsia="Tahoma" w:hAnsi="Tahoma"/>
          <w:b w:val="1"/>
          <w:rtl w:val="0"/>
        </w:rPr>
        <w:t xml:space="preserve">Interactive Intelligence</w:t>
      </w:r>
    </w:p>
    <w:p w:rsidR="00000000" w:rsidDel="00000000" w:rsidP="00000000" w:rsidRDefault="00000000" w:rsidRPr="00000000" w14:paraId="00000003">
      <w:pPr>
        <w:pStyle w:val="Title"/>
        <w:rPr>
          <w:rFonts w:ascii="Tahoma" w:cs="Tahoma" w:eastAsia="Tahoma" w:hAnsi="Tahoma"/>
          <w:b w:val="1"/>
        </w:rPr>
      </w:pPr>
      <w:r w:rsidDel="00000000" w:rsidR="00000000" w:rsidRPr="00000000">
        <w:rPr>
          <w:rFonts w:ascii="Tahoma" w:cs="Tahoma" w:eastAsia="Tahoma" w:hAnsi="Tahoma"/>
          <w:b w:val="1"/>
          <w:rtl w:val="0"/>
        </w:rPr>
        <w:t xml:space="preserve">Checklist for Review of Dataset</w:t>
      </w:r>
      <w:r w:rsidDel="00000000" w:rsidR="00000000" w:rsidRPr="00000000">
        <w:rPr>
          <w:rtl w:val="0"/>
        </w:rPr>
        <w:br w:type="textWrapping"/>
      </w:r>
      <w:r w:rsidDel="00000000" w:rsidR="00000000" w:rsidRPr="00000000">
        <w:rPr>
          <w:rFonts w:ascii="Tahoma" w:cs="Tahoma" w:eastAsia="Tahoma" w:hAnsi="Tahoma"/>
          <w:b w:val="1"/>
          <w:sz w:val="20"/>
          <w:szCs w:val="20"/>
          <w:rtl w:val="0"/>
        </w:rPr>
        <w:t xml:space="preserve">(Version 2)</w:t>
      </w:r>
      <w:r w:rsidDel="00000000" w:rsidR="00000000" w:rsidRPr="00000000">
        <w:rPr>
          <w:rtl w:val="0"/>
        </w:rPr>
      </w:r>
    </w:p>
    <w:p w:rsidR="00000000" w:rsidDel="00000000" w:rsidP="00000000" w:rsidRDefault="00000000" w:rsidRPr="00000000" w14:paraId="00000004">
      <w:pPr>
        <w:rPr>
          <w:rFonts w:ascii="Tahoma" w:cs="Tahoma" w:eastAsia="Tahoma" w:hAnsi="Tahoma"/>
        </w:rPr>
      </w:pPr>
      <w:r w:rsidDel="00000000" w:rsidR="00000000" w:rsidRPr="00000000">
        <w:rPr>
          <w:rtl w:val="0"/>
        </w:rPr>
      </w:r>
    </w:p>
    <w:p w:rsidR="00000000" w:rsidDel="00000000" w:rsidP="00000000" w:rsidRDefault="00000000" w:rsidRPr="00000000" w14:paraId="00000005">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06">
      <w:pPr>
        <w:pBdr>
          <w:top w:color="000000" w:space="1" w:sz="4" w:val="single"/>
          <w:left w:color="000000" w:space="4" w:sz="4" w:val="single"/>
          <w:bottom w:color="000000" w:space="1" w:sz="4" w:val="single"/>
          <w:right w:color="000000" w:space="4" w:sz="4" w:val="single"/>
          <w:between w:space="0" w:sz="0" w:val="nil"/>
        </w:pBdr>
        <w:ind w:right="26"/>
        <w:rPr>
          <w:rFonts w:ascii="Tahoma" w:cs="Tahoma" w:eastAsia="Tahoma" w:hAnsi="Tahoma"/>
          <w:i w:val="1"/>
          <w:color w:val="000000"/>
          <w:sz w:val="20"/>
          <w:szCs w:val="20"/>
        </w:rPr>
      </w:pPr>
      <w:r w:rsidDel="00000000" w:rsidR="00000000" w:rsidRPr="00000000">
        <w:rPr>
          <w:rFonts w:ascii="Tahoma" w:cs="Tahoma" w:eastAsia="Tahoma" w:hAnsi="Tahoma"/>
          <w:i w:val="1"/>
          <w:color w:val="000000"/>
          <w:sz w:val="20"/>
          <w:szCs w:val="20"/>
          <w:rtl w:val="0"/>
        </w:rPr>
        <w:t xml:space="preserve">We recommend that students or employees wishing to publish on their data and results for a given research project in the form of a dataset asks a fellow student or colleague to review this dataset with regard to the points in this checklist. The purpose of the checklist ist to ensure that all data that can be made available is made available, that all analyses were conducted conscientiously by the researchers, that all results are reported accurately, and that all methods are transparent and sufficiently clear to be reproducible.</w:t>
      </w:r>
    </w:p>
    <w:p w:rsidR="00000000" w:rsidDel="00000000" w:rsidP="00000000" w:rsidRDefault="00000000" w:rsidRPr="00000000" w14:paraId="00000007">
      <w:pPr>
        <w:pBdr>
          <w:top w:color="000000" w:space="1" w:sz="4" w:val="single"/>
          <w:left w:color="000000" w:space="4" w:sz="4" w:val="single"/>
          <w:bottom w:color="000000" w:space="1" w:sz="4" w:val="single"/>
          <w:right w:color="000000" w:space="4" w:sz="4" w:val="single"/>
          <w:between w:space="0" w:sz="0" w:val="nil"/>
        </w:pBdr>
        <w:ind w:right="26"/>
        <w:rPr>
          <w:rFonts w:ascii="Tahoma" w:cs="Tahoma" w:eastAsia="Tahoma" w:hAnsi="Tahoma"/>
          <w:i w:val="1"/>
          <w:color w:val="000000"/>
          <w:sz w:val="20"/>
          <w:szCs w:val="20"/>
        </w:rPr>
      </w:pPr>
      <w:r w:rsidDel="00000000" w:rsidR="00000000" w:rsidRPr="00000000">
        <w:rPr>
          <w:rtl w:val="0"/>
        </w:rPr>
      </w:r>
    </w:p>
    <w:p w:rsidR="00000000" w:rsidDel="00000000" w:rsidP="00000000" w:rsidRDefault="00000000" w:rsidRPr="00000000" w14:paraId="00000008">
      <w:pPr>
        <w:pBdr>
          <w:top w:color="000000" w:space="1" w:sz="4" w:val="single"/>
          <w:left w:color="000000" w:space="4" w:sz="4" w:val="single"/>
          <w:bottom w:color="000000" w:space="1" w:sz="4" w:val="single"/>
          <w:right w:color="000000" w:space="4" w:sz="4" w:val="single"/>
          <w:between w:space="0" w:sz="0" w:val="nil"/>
        </w:pBdr>
        <w:ind w:right="26"/>
        <w:rPr>
          <w:rFonts w:ascii="Tahoma" w:cs="Tahoma" w:eastAsia="Tahoma" w:hAnsi="Tahoma"/>
          <w:i w:val="1"/>
          <w:color w:val="000000"/>
          <w:sz w:val="20"/>
          <w:szCs w:val="20"/>
        </w:rPr>
      </w:pPr>
      <w:r w:rsidDel="00000000" w:rsidR="00000000" w:rsidRPr="00000000">
        <w:rPr>
          <w:rFonts w:ascii="Tahoma" w:cs="Tahoma" w:eastAsia="Tahoma" w:hAnsi="Tahoma"/>
          <w:i w:val="1"/>
          <w:color w:val="000000"/>
          <w:sz w:val="20"/>
          <w:szCs w:val="20"/>
          <w:rtl w:val="0"/>
        </w:rPr>
        <w:t xml:space="preserve">If you choose to have your code reviewed according to this checklist, we advise you to upload this document together with your dataset to the research data repository of your choice (e.g. 4TU Research Data) upon publication of your work.</w:t>
      </w:r>
    </w:p>
    <w:p w:rsidR="00000000" w:rsidDel="00000000" w:rsidP="00000000" w:rsidRDefault="00000000" w:rsidRPr="00000000" w14:paraId="00000009">
      <w:pPr>
        <w:pBdr>
          <w:top w:space="0" w:sz="0" w:val="nil"/>
          <w:left w:space="0" w:sz="0" w:val="nil"/>
          <w:bottom w:space="0" w:sz="0" w:val="nil"/>
          <w:right w:space="0" w:sz="0" w:val="nil"/>
          <w:between w:space="0" w:sz="0" w:val="nil"/>
        </w:pBdr>
        <w:ind w:right="26"/>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00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0B">
      <w:pPr>
        <w:numPr>
          <w:ilvl w:val="0"/>
          <w:numId w:val="3"/>
        </w:numPr>
        <w:ind w:left="360" w:hanging="36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Basic Data </w:t>
        <w:br w:type="textWrapping"/>
        <w:br w:type="textWrapping"/>
      </w:r>
    </w:p>
    <w:tbl>
      <w:tblPr>
        <w:tblStyle w:val="Table1"/>
        <w:tblW w:w="901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31"/>
        <w:gridCol w:w="4486"/>
        <w:tblGridChange w:id="0">
          <w:tblGrid>
            <w:gridCol w:w="4531"/>
            <w:gridCol w:w="4486"/>
          </w:tblGrid>
        </w:tblGridChange>
      </w:tblGrid>
      <w:tr>
        <w:trPr>
          <w:cantSplit w:val="0"/>
          <w:tblHeader w:val="0"/>
        </w:trPr>
        <w:tc>
          <w:tcPr>
            <w:shd w:fill="auto" w:val="clear"/>
          </w:tcPr>
          <w:p w:rsidR="00000000" w:rsidDel="00000000" w:rsidP="00000000" w:rsidRDefault="00000000" w:rsidRPr="00000000" w14:paraId="0000000C">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Paper title:</w:t>
            </w:r>
          </w:p>
        </w:tc>
        <w:tc>
          <w:tcPr>
            <w:shd w:fill="auto" w:val="clear"/>
          </w:tcPr>
          <w:p w:rsidR="00000000" w:rsidDel="00000000" w:rsidP="00000000" w:rsidRDefault="00000000" w:rsidRPr="00000000" w14:paraId="0000000D">
            <w:pPr>
              <w:spacing w:after="0" w:before="0" w:line="259" w:lineRule="auto"/>
              <w:ind w:left="0" w:right="0" w:firstLine="0"/>
              <w:jc w:val="left"/>
              <w:rPr/>
            </w:pPr>
            <w:r w:rsidDel="00000000" w:rsidR="00000000" w:rsidRPr="00000000">
              <w:rPr>
                <w:rFonts w:ascii="Tahoma" w:cs="Tahoma" w:eastAsia="Tahoma" w:hAnsi="Tahoma"/>
                <w:sz w:val="20"/>
                <w:szCs w:val="20"/>
                <w:rtl w:val="0"/>
              </w:rPr>
              <w:t xml:space="preserve">Combining LLMs with BDI Systems for Training Child Helpline Counsellors</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0E">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Name(s) of researcher(s):</w:t>
            </w:r>
          </w:p>
        </w:tc>
        <w:tc>
          <w:tcPr>
            <w:shd w:fill="auto" w:val="clear"/>
          </w:tcPr>
          <w:p w:rsidR="00000000" w:rsidDel="00000000" w:rsidP="00000000" w:rsidRDefault="00000000" w:rsidRPr="00000000" w14:paraId="0000000F">
            <w:pPr>
              <w:spacing w:after="0" w:before="0" w:line="259" w:lineRule="auto"/>
              <w:ind w:left="0" w:right="0" w:firstLine="0"/>
              <w:jc w:val="left"/>
              <w:rPr/>
            </w:pPr>
            <w:r w:rsidDel="00000000" w:rsidR="00000000" w:rsidRPr="00000000">
              <w:rPr>
                <w:rFonts w:ascii="Tahoma" w:cs="Tahoma" w:eastAsia="Tahoma" w:hAnsi="Tahoma"/>
                <w:sz w:val="20"/>
                <w:szCs w:val="20"/>
                <w:rtl w:val="0"/>
              </w:rPr>
              <w:t xml:space="preserve">Adarsh Denga</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10">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of the reviewer: </w:t>
            </w:r>
          </w:p>
        </w:tc>
        <w:tc>
          <w:tcPr>
            <w:shd w:fill="auto" w:val="clear"/>
          </w:tcPr>
          <w:p w:rsidR="00000000" w:rsidDel="00000000" w:rsidP="00000000" w:rsidRDefault="00000000" w:rsidRPr="00000000" w14:paraId="00000011">
            <w:pPr>
              <w:spacing w:after="0" w:before="0" w:line="259" w:lineRule="auto"/>
              <w:ind w:left="0" w:right="0" w:firstLine="0"/>
              <w:jc w:val="left"/>
              <w:rPr/>
            </w:pPr>
            <w:r w:rsidDel="00000000" w:rsidR="00000000" w:rsidRPr="00000000">
              <w:rPr>
                <w:rFonts w:ascii="Tahoma" w:cs="Tahoma" w:eastAsia="Tahoma" w:hAnsi="Tahoma"/>
                <w:sz w:val="20"/>
                <w:szCs w:val="20"/>
                <w:rtl w:val="0"/>
              </w:rPr>
              <w:t xml:space="preserve">Maya Elasmar</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12">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Data repository platform (e.g. 4TU Centre for Research Data):</w:t>
            </w:r>
          </w:p>
        </w:tc>
        <w:tc>
          <w:tcPr>
            <w:shd w:fill="auto" w:val="clear"/>
          </w:tcPr>
          <w:p w:rsidR="00000000" w:rsidDel="00000000" w:rsidP="00000000" w:rsidRDefault="00000000" w:rsidRPr="00000000" w14:paraId="00000013">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4TU Centre for Research Data</w:t>
            </w:r>
          </w:p>
        </w:tc>
      </w:tr>
    </w:tbl>
    <w:p w:rsidR="00000000" w:rsidDel="00000000" w:rsidP="00000000" w:rsidRDefault="00000000" w:rsidRPr="00000000" w14:paraId="00000014">
      <w:pPr>
        <w:ind w:right="-694"/>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015">
      <w:pPr>
        <w:numPr>
          <w:ilvl w:val="0"/>
          <w:numId w:val="3"/>
        </w:numPr>
        <w:ind w:left="360" w:right="-694" w:hanging="36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Checklist</w:t>
      </w:r>
    </w:p>
    <w:p w:rsidR="00000000" w:rsidDel="00000000" w:rsidP="00000000" w:rsidRDefault="00000000" w:rsidRPr="00000000" w14:paraId="00000016">
      <w:pPr>
        <w:ind w:left="360" w:right="-694" w:firstLine="0"/>
        <w:rPr>
          <w:rFonts w:ascii="Tahoma" w:cs="Tahoma" w:eastAsia="Tahoma" w:hAnsi="Tahoma"/>
          <w:b w:val="1"/>
          <w:sz w:val="16"/>
          <w:szCs w:val="16"/>
        </w:rPr>
      </w:pPr>
      <w:r w:rsidDel="00000000" w:rsidR="00000000" w:rsidRPr="00000000">
        <w:rPr>
          <w:rFonts w:ascii="Tahoma" w:cs="Tahoma" w:eastAsia="Tahoma" w:hAnsi="Tahoma"/>
          <w:b w:val="1"/>
          <w:sz w:val="22"/>
          <w:szCs w:val="22"/>
          <w:rtl w:val="0"/>
        </w:rPr>
        <w:br w:type="textWrapping"/>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16"/>
          <w:szCs w:val="16"/>
          <w:rtl w:val="0"/>
        </w:rPr>
        <w:tab/>
      </w:r>
    </w:p>
    <w:tbl>
      <w:tblPr>
        <w:tblStyle w:val="Table2"/>
        <w:tblW w:w="9813.0" w:type="dxa"/>
        <w:jc w:val="left"/>
        <w:tblInd w:w="36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0"/>
        <w:gridCol w:w="3404"/>
        <w:gridCol w:w="709"/>
        <w:tblGridChange w:id="0">
          <w:tblGrid>
            <w:gridCol w:w="5700"/>
            <w:gridCol w:w="3404"/>
            <w:gridCol w:w="709"/>
          </w:tblGrid>
        </w:tblGridChange>
      </w:tblGrid>
      <w:tr>
        <w:trPr>
          <w:cantSplit w:val="0"/>
          <w:trHeight w:val="567" w:hRule="atLeast"/>
          <w:tblHeader w:val="1"/>
        </w:trPr>
        <w:tc>
          <w:tcPr/>
          <w:p w:rsidR="00000000" w:rsidDel="00000000" w:rsidP="00000000" w:rsidRDefault="00000000" w:rsidRPr="00000000" w14:paraId="00000017">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Statement</w:t>
            </w:r>
          </w:p>
        </w:tc>
        <w:tc>
          <w:tcPr/>
          <w:p w:rsidR="00000000" w:rsidDel="00000000" w:rsidP="00000000" w:rsidRDefault="00000000" w:rsidRPr="00000000" w14:paraId="00000018">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Yes</w:t>
            </w:r>
          </w:p>
        </w:tc>
        <w:tc>
          <w:tcPr/>
          <w:p w:rsidR="00000000" w:rsidDel="00000000" w:rsidP="00000000" w:rsidRDefault="00000000" w:rsidRPr="00000000" w14:paraId="00000019">
            <w:pPr>
              <w:ind w:left="142" w:firstLine="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r>
      <w:tr>
        <w:trPr>
          <w:cantSplit w:val="0"/>
          <w:trHeight w:val="1008" w:hRule="atLeast"/>
          <w:tblHeader w:val="0"/>
        </w:trPr>
        <w:tc>
          <w:tcPr/>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 dataset contains a README file that fulfils the requirements of the data repository platform that the researcher wishes to use. If no such requirements can be found, the dataset nonetheless contains a README file that clearly explains the contents of the dataset?</w:t>
            </w:r>
          </w:p>
        </w:tc>
        <w:tc>
          <w:tcPr/>
          <w:p w:rsidR="00000000" w:rsidDel="00000000" w:rsidP="00000000" w:rsidRDefault="00000000" w:rsidRPr="00000000" w14:paraId="0000001B">
            <w:pPr>
              <w:jc w:val="center"/>
              <w:rPr>
                <w:rFonts w:ascii="Arimo" w:cs="Arimo" w:eastAsia="Arimo" w:hAnsi="Arimo"/>
                <w:sz w:val="38"/>
                <w:szCs w:val="38"/>
                <w:vertAlign w:val="subscript"/>
              </w:rPr>
            </w:pPr>
            <w:r w:rsidDel="00000000" w:rsidR="00000000" w:rsidRPr="00000000">
              <w:rPr>
                <w:rFonts w:ascii="Arimo" w:cs="Arimo" w:eastAsia="Arimo" w:hAnsi="Arimo"/>
                <w:sz w:val="38"/>
                <w:szCs w:val="38"/>
                <w:vertAlign w:val="subscript"/>
                <w:rtl w:val="0"/>
              </w:rPr>
              <w:t xml:space="preserve">X</w:t>
            </w:r>
          </w:p>
        </w:tc>
        <w:tc>
          <w:tcPr/>
          <w:p w:rsidR="00000000" w:rsidDel="00000000" w:rsidP="00000000" w:rsidRDefault="00000000" w:rsidRPr="00000000" w14:paraId="0000001C">
            <w:pPr>
              <w:ind w:left="142" w:firstLine="0"/>
              <w:jc w:val="center"/>
              <w:rPr>
                <w:rFonts w:ascii="Tahoma" w:cs="Tahoma" w:eastAsia="Tahoma" w:hAnsi="Tahoma"/>
                <w:sz w:val="20"/>
                <w:szCs w:val="20"/>
              </w:rPr>
            </w:pPr>
            <w:r w:rsidDel="00000000" w:rsidR="00000000" w:rsidRPr="00000000">
              <w:rPr>
                <w:rtl w:val="0"/>
              </w:rPr>
            </w:r>
          </w:p>
        </w:tc>
      </w:tr>
      <w:tr>
        <w:trPr>
          <w:cantSplit w:val="0"/>
          <w:trHeight w:val="758" w:hRule="atLeast"/>
          <w:tblHeader w:val="0"/>
        </w:trPr>
        <w:tc>
          <w:tcPr/>
          <w:p w:rsidR="00000000" w:rsidDel="00000000" w:rsidP="00000000" w:rsidRDefault="00000000" w:rsidRPr="00000000" w14:paraId="0000001D">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Either within the README file or within an extra, easily findable file, the researchers have explained their data. This means that, for example, for every column of a tabular dataset, all column names and possible cell values are explained. </w:t>
            </w:r>
          </w:p>
        </w:tc>
        <w:tc>
          <w:tcPr/>
          <w:p w:rsidR="00000000" w:rsidDel="00000000" w:rsidP="00000000" w:rsidRDefault="00000000" w:rsidRPr="00000000" w14:paraId="0000001E">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1F">
            <w:pPr>
              <w:ind w:left="284" w:firstLine="0"/>
              <w:rPr>
                <w:rFonts w:ascii="Tahoma" w:cs="Tahoma" w:eastAsia="Tahoma" w:hAnsi="Tahoma"/>
                <w:sz w:val="20"/>
                <w:szCs w:val="20"/>
              </w:rPr>
            </w:pPr>
            <w:r w:rsidDel="00000000" w:rsidR="00000000" w:rsidRPr="00000000">
              <w:rPr>
                <w:rtl w:val="0"/>
              </w:rPr>
            </w:r>
          </w:p>
        </w:tc>
      </w:tr>
      <w:tr>
        <w:trPr>
          <w:cantSplit w:val="0"/>
          <w:trHeight w:val="758" w:hRule="atLeast"/>
          <w:tblHeader w:val="0"/>
        </w:trPr>
        <w:tc>
          <w:tcPr/>
          <w:p w:rsidR="00000000" w:rsidDel="00000000" w:rsidP="00000000" w:rsidRDefault="00000000" w:rsidRPr="00000000" w14:paraId="00000020">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data is in readily readable file formats. If this should not be the case, the README (or similar) clearly explains the file format and which software can be used to access the contents.</w:t>
            </w:r>
          </w:p>
        </w:tc>
        <w:tc>
          <w:tcPr/>
          <w:p w:rsidR="00000000" w:rsidDel="00000000" w:rsidP="00000000" w:rsidRDefault="00000000" w:rsidRPr="00000000" w14:paraId="00000021">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22">
            <w:pPr>
              <w:ind w:left="284" w:firstLine="0"/>
              <w:rPr>
                <w:rFonts w:ascii="Tahoma" w:cs="Tahoma" w:eastAsia="Tahoma" w:hAnsi="Tahoma"/>
                <w:sz w:val="20"/>
                <w:szCs w:val="20"/>
              </w:rPr>
            </w:pPr>
            <w:r w:rsidDel="00000000" w:rsidR="00000000" w:rsidRPr="00000000">
              <w:rPr>
                <w:rtl w:val="0"/>
              </w:rPr>
            </w:r>
          </w:p>
        </w:tc>
      </w:tr>
      <w:tr>
        <w:trPr>
          <w:cantSplit w:val="0"/>
          <w:trHeight w:val="758" w:hRule="atLeast"/>
          <w:tblHeader w:val="0"/>
        </w:trPr>
        <w:tc>
          <w:tcPr/>
          <w:p w:rsidR="00000000" w:rsidDel="00000000" w:rsidP="00000000" w:rsidRDefault="00000000" w:rsidRPr="00000000" w14:paraId="00000023">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All data has been anonymized in accordance to promises made in the Data Management Plan.</w:t>
            </w:r>
          </w:p>
        </w:tc>
        <w:tc>
          <w:tcPr/>
          <w:p w:rsidR="00000000" w:rsidDel="00000000" w:rsidP="00000000" w:rsidRDefault="00000000" w:rsidRPr="00000000" w14:paraId="00000024">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25">
            <w:pPr>
              <w:ind w:left="284" w:firstLine="0"/>
              <w:rPr>
                <w:rFonts w:ascii="Tahoma" w:cs="Tahoma" w:eastAsia="Tahoma" w:hAnsi="Tahoma"/>
                <w:sz w:val="20"/>
                <w:szCs w:val="20"/>
              </w:rPr>
            </w:pPr>
            <w:r w:rsidDel="00000000" w:rsidR="00000000" w:rsidRPr="00000000">
              <w:rPr>
                <w:rtl w:val="0"/>
              </w:rPr>
            </w:r>
          </w:p>
        </w:tc>
      </w:tr>
      <w:tr>
        <w:trPr>
          <w:cantSplit w:val="0"/>
          <w:trHeight w:val="748" w:hRule="atLeast"/>
          <w:tblHeader w:val="0"/>
        </w:trPr>
        <w:tc>
          <w:tcPr/>
          <w:p w:rsidR="00000000" w:rsidDel="00000000" w:rsidP="00000000" w:rsidRDefault="00000000" w:rsidRPr="00000000" w14:paraId="00000026">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 analysis file or files contain a header with meta-data (name of author, date of writing, required input files and generated output files).</w:t>
            </w:r>
          </w:p>
        </w:tc>
        <w:tc>
          <w:tcPr/>
          <w:p w:rsidR="00000000" w:rsidDel="00000000" w:rsidP="00000000" w:rsidRDefault="00000000" w:rsidRPr="00000000" w14:paraId="00000027">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28">
            <w:pPr>
              <w:ind w:left="284" w:firstLine="0"/>
              <w:rPr>
                <w:rFonts w:ascii="Tahoma" w:cs="Tahoma" w:eastAsia="Tahoma" w:hAnsi="Tahoma"/>
                <w:sz w:val="20"/>
                <w:szCs w:val="20"/>
              </w:rPr>
            </w:pPr>
            <w:r w:rsidDel="00000000" w:rsidR="00000000" w:rsidRPr="00000000">
              <w:rPr>
                <w:rtl w:val="0"/>
              </w:rPr>
            </w:r>
          </w:p>
        </w:tc>
      </w:tr>
      <w:tr>
        <w:trPr>
          <w:cantSplit w:val="0"/>
          <w:trHeight w:val="997" w:hRule="atLeast"/>
          <w:tblHeader w:val="0"/>
        </w:trPr>
        <w:tc>
          <w:tcPr/>
          <w:p w:rsidR="00000000" w:rsidDel="00000000" w:rsidP="00000000" w:rsidRDefault="00000000" w:rsidRPr="00000000" w14:paraId="00000029">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All required input files for the analysis are available in the dataset.</w:t>
            </w:r>
          </w:p>
        </w:tc>
        <w:tc>
          <w:tcPr/>
          <w:p w:rsidR="00000000" w:rsidDel="00000000" w:rsidP="00000000" w:rsidRDefault="00000000" w:rsidRPr="00000000" w14:paraId="0000002A">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2B">
            <w:pPr>
              <w:ind w:left="284" w:firstLine="0"/>
              <w:rPr>
                <w:rFonts w:ascii="Tahoma" w:cs="Tahoma" w:eastAsia="Tahoma" w:hAnsi="Tahoma"/>
                <w:sz w:val="20"/>
                <w:szCs w:val="20"/>
              </w:rPr>
            </w:pPr>
            <w:r w:rsidDel="00000000" w:rsidR="00000000" w:rsidRPr="00000000">
              <w:rPr>
                <w:rtl w:val="0"/>
              </w:rPr>
            </w:r>
          </w:p>
        </w:tc>
      </w:tr>
      <w:tr>
        <w:trPr>
          <w:cantSplit w:val="0"/>
          <w:trHeight w:val="997" w:hRule="atLeast"/>
          <w:tblHeader w:val="0"/>
        </w:trPr>
        <w:tc>
          <w:tcPr/>
          <w:p w:rsidR="00000000" w:rsidDel="00000000" w:rsidP="00000000" w:rsidRDefault="00000000" w:rsidRPr="00000000" w14:paraId="0000002C">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There is an output file that is generated by the analysis script that neatly combines code and commentary (e.g. markdown output file). This output file is in a readily readable file format (e.g. pdf).</w:t>
            </w:r>
          </w:p>
        </w:tc>
        <w:tc>
          <w:tcPr/>
          <w:p w:rsidR="00000000" w:rsidDel="00000000" w:rsidP="00000000" w:rsidRDefault="00000000" w:rsidRPr="00000000" w14:paraId="0000002D">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2E">
            <w:pPr>
              <w:ind w:left="284" w:firstLine="0"/>
              <w:rPr>
                <w:rFonts w:ascii="Tahoma" w:cs="Tahoma" w:eastAsia="Tahoma" w:hAnsi="Tahoma"/>
                <w:sz w:val="20"/>
                <w:szCs w:val="20"/>
              </w:rPr>
            </w:pPr>
            <w:r w:rsidDel="00000000" w:rsidR="00000000" w:rsidRPr="00000000">
              <w:rPr>
                <w:rtl w:val="0"/>
              </w:rPr>
            </w:r>
          </w:p>
        </w:tc>
      </w:tr>
      <w:tr>
        <w:trPr>
          <w:cantSplit w:val="0"/>
          <w:trHeight w:val="509" w:hRule="atLeast"/>
          <w:tblHeader w:val="0"/>
        </w:trPr>
        <w:tc>
          <w:tcPr/>
          <w:p w:rsidR="00000000" w:rsidDel="00000000" w:rsidP="00000000" w:rsidRDefault="00000000" w:rsidRPr="00000000" w14:paraId="0000002F">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 analysis script is clean and comprehensible in the sense that:</w:t>
            </w:r>
          </w:p>
          <w:p w:rsidR="00000000" w:rsidDel="00000000" w:rsidP="00000000" w:rsidRDefault="00000000" w:rsidRPr="00000000" w14:paraId="00000030">
            <w:pPr>
              <w:numPr>
                <w:ilvl w:val="0"/>
                <w:numId w:val="2"/>
              </w:numPr>
              <w:pBdr>
                <w:top w:space="0" w:sz="0" w:val="nil"/>
                <w:left w:space="0" w:sz="0" w:val="nil"/>
                <w:bottom w:space="0" w:sz="0" w:val="nil"/>
                <w:right w:space="0" w:sz="0" w:val="nil"/>
                <w:between w:space="0" w:sz="0" w:val="nil"/>
              </w:pBdr>
              <w:ind w:left="108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There is sufficient, useful, and clearly written commentary</w:t>
            </w:r>
          </w:p>
          <w:p w:rsidR="00000000" w:rsidDel="00000000" w:rsidP="00000000" w:rsidRDefault="00000000" w:rsidRPr="00000000" w14:paraId="00000031">
            <w:pPr>
              <w:numPr>
                <w:ilvl w:val="0"/>
                <w:numId w:val="2"/>
              </w:numPr>
              <w:pBdr>
                <w:top w:space="0" w:sz="0" w:val="nil"/>
                <w:left w:space="0" w:sz="0" w:val="nil"/>
                <w:bottom w:space="0" w:sz="0" w:val="nil"/>
                <w:right w:space="0" w:sz="0" w:val="nil"/>
                <w:between w:space="0" w:sz="0" w:val="nil"/>
              </w:pBdr>
              <w:ind w:left="108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Irrelevant code (such as old analyses) has been removed</w:t>
            </w:r>
          </w:p>
          <w:p w:rsidR="00000000" w:rsidDel="00000000" w:rsidP="00000000" w:rsidRDefault="00000000" w:rsidRPr="00000000" w14:paraId="00000032">
            <w:pPr>
              <w:numPr>
                <w:ilvl w:val="1"/>
                <w:numId w:val="2"/>
              </w:numPr>
              <w:pBdr>
                <w:top w:space="0" w:sz="0" w:val="nil"/>
                <w:left w:space="0" w:sz="0" w:val="nil"/>
                <w:bottom w:space="0" w:sz="0" w:val="nil"/>
                <w:right w:space="0" w:sz="0" w:val="nil"/>
                <w:between w:space="0" w:sz="0" w:val="nil"/>
              </w:pBdr>
              <w:ind w:left="180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 details of analyses that are not reported in the paper (e.g. assumption checks) are proportional to those that are reported in the paper. This means that unreported analyses should not clutter up the script, making it long and unreadable.  </w:t>
            </w:r>
          </w:p>
        </w:tc>
        <w:tc>
          <w:tcPr/>
          <w:p w:rsidR="00000000" w:rsidDel="00000000" w:rsidP="00000000" w:rsidRDefault="00000000" w:rsidRPr="00000000" w14:paraId="00000033">
            <w:pPr>
              <w:jc w:val="center"/>
              <w:rPr>
                <w:rFonts w:ascii="Tahoma" w:cs="Tahoma" w:eastAsia="Tahoma" w:hAnsi="Tahoma"/>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34">
            <w:pPr>
              <w:ind w:left="284" w:firstLine="0"/>
              <w:rPr>
                <w:rFonts w:ascii="Tahoma" w:cs="Tahoma" w:eastAsia="Tahoma" w:hAnsi="Tahoma"/>
                <w:sz w:val="22"/>
                <w:szCs w:val="22"/>
                <w:vertAlign w:val="subscript"/>
              </w:rPr>
            </w:pPr>
            <w:r w:rsidDel="00000000" w:rsidR="00000000" w:rsidRPr="00000000">
              <w:rPr>
                <w:rtl w:val="0"/>
              </w:rPr>
            </w:r>
          </w:p>
        </w:tc>
      </w:tr>
      <w:tr>
        <w:trPr>
          <w:cantSplit w:val="0"/>
          <w:trHeight w:val="748" w:hRule="atLeast"/>
          <w:tblHeader w:val="0"/>
        </w:trPr>
        <w:tc>
          <w:tcPr/>
          <w:p w:rsidR="00000000" w:rsidDel="00000000" w:rsidP="00000000" w:rsidRDefault="00000000" w:rsidRPr="00000000" w14:paraId="00000035">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 analysis script can be run successfully.</w:t>
            </w:r>
          </w:p>
        </w:tc>
        <w:tc>
          <w:tcPr/>
          <w:p w:rsidR="00000000" w:rsidDel="00000000" w:rsidP="00000000" w:rsidRDefault="00000000" w:rsidRPr="00000000" w14:paraId="00000036">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37">
            <w:pPr>
              <w:ind w:left="284" w:firstLine="0"/>
              <w:rPr>
                <w:rFonts w:ascii="Tahoma" w:cs="Tahoma" w:eastAsia="Tahoma" w:hAnsi="Tahoma"/>
                <w:sz w:val="20"/>
                <w:szCs w:val="20"/>
                <w:vertAlign w:val="subscript"/>
              </w:rPr>
            </w:pPr>
            <w:r w:rsidDel="00000000" w:rsidR="00000000" w:rsidRPr="00000000">
              <w:rPr>
                <w:rtl w:val="0"/>
              </w:rPr>
            </w:r>
          </w:p>
        </w:tc>
      </w:tr>
      <w:tr>
        <w:trPr>
          <w:cantSplit w:val="0"/>
          <w:trHeight w:val="748" w:hRule="atLeast"/>
          <w:tblHeader w:val="0"/>
        </w:trPr>
        <w:tc>
          <w:tcPr/>
          <w:p w:rsidR="00000000" w:rsidDel="00000000" w:rsidP="00000000" w:rsidRDefault="00000000" w:rsidRPr="00000000" w14:paraId="00000038">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All preprocessing steps are clearly described and traceable, especially when preprocessing code cannot be executed because raw data is not available.</w:t>
            </w:r>
          </w:p>
        </w:tc>
        <w:tc>
          <w:tcPr/>
          <w:p w:rsidR="00000000" w:rsidDel="00000000" w:rsidP="00000000" w:rsidRDefault="00000000" w:rsidRPr="00000000" w14:paraId="00000039">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color w:val="808080"/>
                <w:rtl w:val="0"/>
              </w:rPr>
              <w:t xml:space="preserve">     </w:t>
            </w:r>
            <w:r w:rsidDel="00000000" w:rsidR="00000000" w:rsidRPr="00000000">
              <w:rPr>
                <w:rtl w:val="0"/>
              </w:rPr>
            </w:r>
          </w:p>
        </w:tc>
        <w:tc>
          <w:tcPr/>
          <w:p w:rsidR="00000000" w:rsidDel="00000000" w:rsidP="00000000" w:rsidRDefault="00000000" w:rsidRPr="00000000" w14:paraId="0000003A">
            <w:pPr>
              <w:ind w:left="284" w:firstLine="0"/>
              <w:rPr>
                <w:rFonts w:ascii="Tahoma" w:cs="Tahoma" w:eastAsia="Tahoma" w:hAnsi="Tahoma"/>
                <w:sz w:val="20"/>
                <w:szCs w:val="20"/>
              </w:rPr>
            </w:pPr>
            <w:r w:rsidDel="00000000" w:rsidR="00000000" w:rsidRPr="00000000">
              <w:rPr>
                <w:rtl w:val="0"/>
              </w:rPr>
            </w:r>
          </w:p>
        </w:tc>
      </w:tr>
      <w:tr>
        <w:trPr>
          <w:cantSplit w:val="0"/>
          <w:trHeight w:val="249" w:hRule="atLeast"/>
          <w:tblHeader w:val="0"/>
        </w:trPr>
        <w:tc>
          <w:tcPr/>
          <w:p w:rsidR="00000000" w:rsidDel="00000000" w:rsidP="00000000" w:rsidRDefault="00000000" w:rsidRPr="00000000" w14:paraId="0000003B">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The analyses and results reported in the manuscript can be found back in the analysis script with labels according to where they appear in the manuscript.</w:t>
              <w:br w:type="textWrapping"/>
            </w:r>
          </w:p>
        </w:tc>
        <w:tc>
          <w:tcPr/>
          <w:p w:rsidR="00000000" w:rsidDel="00000000" w:rsidP="00000000" w:rsidRDefault="00000000" w:rsidRPr="00000000" w14:paraId="0000003C">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rtl w:val="0"/>
              </w:rPr>
            </w:r>
          </w:p>
        </w:tc>
        <w:tc>
          <w:tcPr/>
          <w:p w:rsidR="00000000" w:rsidDel="00000000" w:rsidP="00000000" w:rsidRDefault="00000000" w:rsidRPr="00000000" w14:paraId="0000003D">
            <w:pPr>
              <w:ind w:left="284" w:firstLine="0"/>
              <w:rPr>
                <w:rFonts w:ascii="Tahoma" w:cs="Tahoma" w:eastAsia="Tahoma" w:hAnsi="Tahoma"/>
                <w:sz w:val="20"/>
                <w:szCs w:val="20"/>
              </w:rPr>
            </w:pPr>
            <w:r w:rsidDel="00000000" w:rsidR="00000000" w:rsidRPr="00000000">
              <w:rPr>
                <w:rtl w:val="0"/>
              </w:rPr>
            </w:r>
          </w:p>
        </w:tc>
      </w:tr>
      <w:tr>
        <w:trPr>
          <w:cantSplit w:val="0"/>
          <w:trHeight w:val="499" w:hRule="atLeast"/>
          <w:tblHeader w:val="0"/>
        </w:trPr>
        <w:tc>
          <w:tcPr/>
          <w:p w:rsidR="00000000" w:rsidDel="00000000" w:rsidP="00000000" w:rsidRDefault="00000000" w:rsidRPr="00000000" w14:paraId="0000003E">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All results reported in the manuscript accurately correspond to the output produced by the analysis script.</w:t>
              <w:tab/>
            </w:r>
          </w:p>
        </w:tc>
        <w:tc>
          <w:tcPr/>
          <w:p w:rsidR="00000000" w:rsidDel="00000000" w:rsidP="00000000" w:rsidRDefault="00000000" w:rsidRPr="00000000" w14:paraId="0000003F">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color w:val="808080"/>
                <w:rtl w:val="0"/>
              </w:rPr>
              <w:t xml:space="preserve">     </w:t>
            </w:r>
            <w:r w:rsidDel="00000000" w:rsidR="00000000" w:rsidRPr="00000000">
              <w:rPr>
                <w:rtl w:val="0"/>
              </w:rPr>
            </w:r>
          </w:p>
        </w:tc>
        <w:tc>
          <w:tcPr/>
          <w:p w:rsidR="00000000" w:rsidDel="00000000" w:rsidP="00000000" w:rsidRDefault="00000000" w:rsidRPr="00000000" w14:paraId="00000040">
            <w:pPr>
              <w:rPr>
                <w:rFonts w:ascii="Tahoma" w:cs="Tahoma" w:eastAsia="Tahoma" w:hAnsi="Tahoma"/>
                <w:sz w:val="20"/>
                <w:szCs w:val="20"/>
                <w:vertAlign w:val="subscript"/>
              </w:rPr>
            </w:pPr>
            <w:r w:rsidDel="00000000" w:rsidR="00000000" w:rsidRPr="00000000">
              <w:rPr>
                <w:rtl w:val="0"/>
              </w:rPr>
            </w:r>
          </w:p>
        </w:tc>
      </w:tr>
      <w:tr>
        <w:trPr>
          <w:cantSplit w:val="0"/>
          <w:trHeight w:val="499" w:hRule="atLeast"/>
          <w:tblHeader w:val="0"/>
        </w:trPr>
        <w:tc>
          <w:tcPr/>
          <w:p w:rsidR="00000000" w:rsidDel="00000000" w:rsidP="00000000" w:rsidRDefault="00000000" w:rsidRPr="00000000" w14:paraId="00000041">
            <w:pPr>
              <w:numPr>
                <w:ilvl w:val="0"/>
                <w:numId w:val="1"/>
              </w:numPr>
              <w:pBdr>
                <w:top w:space="0" w:sz="0" w:val="nil"/>
                <w:left w:space="0" w:sz="0" w:val="nil"/>
                <w:bottom w:space="0" w:sz="0" w:val="nil"/>
                <w:right w:space="0" w:sz="0" w:val="nil"/>
                <w:between w:space="0" w:sz="0" w:val="nil"/>
              </w:pBdr>
              <w:ind w:left="360"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Results reported in the manuscript can be reproduced via alternative means of computation.</w:t>
            </w:r>
          </w:p>
        </w:tc>
        <w:tc>
          <w:tcPr/>
          <w:p w:rsidR="00000000" w:rsidDel="00000000" w:rsidP="00000000" w:rsidRDefault="00000000" w:rsidRPr="00000000" w14:paraId="00000042">
            <w:pPr>
              <w:jc w:val="center"/>
              <w:rPr>
                <w:rFonts w:ascii="Arimo" w:cs="Arimo" w:eastAsia="Arimo" w:hAnsi="Arimo"/>
                <w:sz w:val="20"/>
                <w:szCs w:val="20"/>
                <w:vertAlign w:val="subscript"/>
              </w:rPr>
            </w:pPr>
            <w:r w:rsidDel="00000000" w:rsidR="00000000" w:rsidRPr="00000000">
              <w:rPr>
                <w:rFonts w:ascii="Arimo" w:cs="Arimo" w:eastAsia="Arimo" w:hAnsi="Arimo"/>
                <w:sz w:val="38"/>
                <w:szCs w:val="38"/>
                <w:vertAlign w:val="subscript"/>
                <w:rtl w:val="0"/>
              </w:rPr>
              <w:t xml:space="preserve">X</w:t>
            </w:r>
            <w:r w:rsidDel="00000000" w:rsidR="00000000" w:rsidRPr="00000000">
              <w:rPr>
                <w:color w:val="808080"/>
                <w:rtl w:val="0"/>
              </w:rPr>
              <w:t xml:space="preserve">     </w:t>
            </w:r>
            <w:r w:rsidDel="00000000" w:rsidR="00000000" w:rsidRPr="00000000">
              <w:rPr>
                <w:rtl w:val="0"/>
              </w:rPr>
            </w:r>
          </w:p>
        </w:tc>
        <w:tc>
          <w:tcPr/>
          <w:p w:rsidR="00000000" w:rsidDel="00000000" w:rsidP="00000000" w:rsidRDefault="00000000" w:rsidRPr="00000000" w14:paraId="00000043">
            <w:pPr>
              <w:rPr>
                <w:rFonts w:ascii="Tahoma" w:cs="Tahoma" w:eastAsia="Tahoma" w:hAnsi="Tahoma"/>
                <w:sz w:val="20"/>
                <w:szCs w:val="20"/>
                <w:vertAlign w:val="subscript"/>
              </w:rPr>
            </w:pPr>
            <w:r w:rsidDel="00000000" w:rsidR="00000000" w:rsidRPr="00000000">
              <w:rPr>
                <w:rtl w:val="0"/>
              </w:rPr>
            </w:r>
          </w:p>
        </w:tc>
      </w:tr>
    </w:tbl>
    <w:p w:rsidR="00000000" w:rsidDel="00000000" w:rsidP="00000000" w:rsidRDefault="00000000" w:rsidRPr="00000000" w14:paraId="00000044">
      <w:pPr>
        <w:pBdr>
          <w:top w:space="0" w:sz="0" w:val="nil"/>
          <w:left w:space="0" w:sz="0" w:val="nil"/>
          <w:bottom w:space="0" w:sz="0" w:val="nil"/>
          <w:right w:space="0" w:sz="0" w:val="nil"/>
          <w:between w:space="0" w:sz="0" w:val="nil"/>
        </w:pBdr>
        <w:ind w:left="360" w:firstLine="0"/>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ind w:left="360" w:firstLine="0"/>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046">
      <w:pPr>
        <w:numPr>
          <w:ilvl w:val="0"/>
          <w:numId w:val="3"/>
        </w:numPr>
        <w:pBdr>
          <w:top w:space="0" w:sz="0" w:val="nil"/>
          <w:left w:space="0" w:sz="0" w:val="nil"/>
          <w:bottom w:space="0" w:sz="0" w:val="nil"/>
          <w:right w:space="0" w:sz="0" w:val="nil"/>
          <w:between w:space="0" w:sz="0" w:val="nil"/>
        </w:pBdr>
        <w:ind w:left="360" w:hanging="360"/>
        <w:rPr>
          <w:rFonts w:ascii="Tahoma" w:cs="Tahoma" w:eastAsia="Tahoma" w:hAnsi="Tahoma"/>
          <w:b w:val="1"/>
          <w:color w:val="000000"/>
          <w:sz w:val="22"/>
          <w:szCs w:val="22"/>
        </w:rPr>
      </w:pPr>
      <w:r w:rsidDel="00000000" w:rsidR="00000000" w:rsidRPr="00000000">
        <w:rPr>
          <w:rFonts w:ascii="Tahoma" w:cs="Tahoma" w:eastAsia="Tahoma" w:hAnsi="Tahoma"/>
          <w:b w:val="1"/>
          <w:color w:val="000000"/>
          <w:sz w:val="22"/>
          <w:szCs w:val="22"/>
          <w:rtl w:val="0"/>
        </w:rPr>
        <w:t xml:space="preserve">Additional comments by reviewer</w:t>
      </w:r>
    </w:p>
    <w:p w:rsidR="00000000" w:rsidDel="00000000" w:rsidP="00000000" w:rsidRDefault="00000000" w:rsidRPr="00000000" w14:paraId="00000047">
      <w:pPr>
        <w:pBdr>
          <w:top w:space="0" w:sz="0" w:val="nil"/>
          <w:left w:space="0" w:sz="0" w:val="nil"/>
          <w:bottom w:space="0" w:sz="0" w:val="nil"/>
          <w:right w:space="0" w:sz="0" w:val="nil"/>
          <w:between w:space="0" w:sz="0" w:val="nil"/>
        </w:pBdr>
        <w:ind w:left="360" w:firstLine="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Please state any additional things you noticed in reviewing the dataset or possible points of improvement for the reviewer.</w:t>
      </w:r>
    </w:p>
    <w:p w:rsidR="00000000" w:rsidDel="00000000" w:rsidP="00000000" w:rsidRDefault="00000000" w:rsidRPr="00000000" w14:paraId="00000048">
      <w:pPr>
        <w:pBdr>
          <w:top w:space="0" w:sz="0" w:val="nil"/>
          <w:left w:space="0" w:sz="0" w:val="nil"/>
          <w:bottom w:space="0" w:sz="0" w:val="nil"/>
          <w:right w:space="0" w:sz="0" w:val="nil"/>
          <w:between w:space="0" w:sz="0" w:val="nil"/>
        </w:pBdr>
        <w:ind w:left="708" w:firstLine="0"/>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ind w:left="708" w:firstLine="0"/>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4A">
      <w:pPr>
        <w:numPr>
          <w:ilvl w:val="0"/>
          <w:numId w:val="3"/>
        </w:numPr>
        <w:pBdr>
          <w:top w:space="0" w:sz="0" w:val="nil"/>
          <w:left w:space="0" w:sz="0" w:val="nil"/>
          <w:bottom w:space="0" w:sz="0" w:val="nil"/>
          <w:right w:space="0" w:sz="0" w:val="nil"/>
          <w:between w:space="0" w:sz="0" w:val="nil"/>
        </w:pBdr>
        <w:ind w:left="360" w:hanging="360"/>
        <w:rPr>
          <w:rFonts w:ascii="Tahoma" w:cs="Tahoma" w:eastAsia="Tahoma" w:hAnsi="Tahoma"/>
          <w:b w:val="1"/>
          <w:color w:val="000000"/>
          <w:sz w:val="22"/>
          <w:szCs w:val="22"/>
        </w:rPr>
      </w:pPr>
      <w:r w:rsidDel="00000000" w:rsidR="00000000" w:rsidRPr="00000000">
        <w:rPr>
          <w:rFonts w:ascii="Tahoma" w:cs="Tahoma" w:eastAsia="Tahoma" w:hAnsi="Tahoma"/>
          <w:b w:val="1"/>
          <w:color w:val="000000"/>
          <w:sz w:val="22"/>
          <w:szCs w:val="22"/>
          <w:rtl w:val="0"/>
        </w:rPr>
        <w:t xml:space="preserve">Review log</w:t>
      </w:r>
    </w:p>
    <w:p w:rsidR="00000000" w:rsidDel="00000000" w:rsidP="00000000" w:rsidRDefault="00000000" w:rsidRPr="00000000" w14:paraId="0000004B">
      <w:pPr>
        <w:ind w:left="360" w:right="1376" w:hanging="360"/>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4C">
      <w:pPr>
        <w:ind w:left="360" w:right="1376" w:hanging="36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ab/>
        <w:tab/>
      </w:r>
    </w:p>
    <w:tbl>
      <w:tblPr>
        <w:tblStyle w:val="Table3"/>
        <w:tblW w:w="9020.453987730061"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3"/>
        <w:gridCol w:w="803"/>
        <w:gridCol w:w="1701"/>
        <w:gridCol w:w="1701"/>
        <w:gridCol w:w="2252.760736196319"/>
        <w:gridCol w:w="1669.6932515337423"/>
        <w:tblGridChange w:id="0">
          <w:tblGrid>
            <w:gridCol w:w="893"/>
            <w:gridCol w:w="803"/>
            <w:gridCol w:w="1701"/>
            <w:gridCol w:w="1701"/>
            <w:gridCol w:w="2252.760736196319"/>
            <w:gridCol w:w="1669.6932515337423"/>
          </w:tblGrid>
        </w:tblGridChange>
      </w:tblGrid>
      <w:tr>
        <w:trPr>
          <w:cantSplit w:val="0"/>
          <w:tblHeader w:val="0"/>
        </w:trPr>
        <w:tc>
          <w:tcPr/>
          <w:p w:rsidR="00000000" w:rsidDel="00000000" w:rsidP="00000000" w:rsidRDefault="00000000" w:rsidRPr="00000000" w14:paraId="0000004D">
            <w:pPr>
              <w:ind w:right="26"/>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Round</w:t>
            </w:r>
          </w:p>
        </w:tc>
        <w:tc>
          <w:tcPr/>
          <w:p w:rsidR="00000000" w:rsidDel="00000000" w:rsidP="00000000" w:rsidRDefault="00000000" w:rsidRPr="00000000" w14:paraId="0000004E">
            <w:pPr>
              <w:ind w:right="26"/>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Date</w:t>
            </w:r>
          </w:p>
        </w:tc>
        <w:tc>
          <w:tcPr/>
          <w:p w:rsidR="00000000" w:rsidDel="00000000" w:rsidP="00000000" w:rsidRDefault="00000000" w:rsidRPr="00000000" w14:paraId="0000004F">
            <w:pPr>
              <w:ind w:right="26"/>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Paper Status</w:t>
            </w:r>
          </w:p>
        </w:tc>
        <w:tc>
          <w:tcPr/>
          <w:p w:rsidR="00000000" w:rsidDel="00000000" w:rsidP="00000000" w:rsidRDefault="00000000" w:rsidRPr="00000000" w14:paraId="00000050">
            <w:pPr>
              <w:ind w:right="26"/>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Checklist Items</w:t>
            </w:r>
          </w:p>
        </w:tc>
        <w:tc>
          <w:tcPr/>
          <w:p w:rsidR="00000000" w:rsidDel="00000000" w:rsidP="00000000" w:rsidRDefault="00000000" w:rsidRPr="00000000" w14:paraId="00000051">
            <w:pPr>
              <w:ind w:right="26"/>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Reviewer</w:t>
            </w:r>
          </w:p>
        </w:tc>
        <w:tc>
          <w:tcPr/>
          <w:p w:rsidR="00000000" w:rsidDel="00000000" w:rsidP="00000000" w:rsidRDefault="00000000" w:rsidRPr="00000000" w14:paraId="00000052">
            <w:pPr>
              <w:ind w:right="26"/>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Researcher</w:t>
            </w:r>
          </w:p>
        </w:tc>
      </w:tr>
      <w:tr>
        <w:trPr>
          <w:cantSplit w:val="0"/>
          <w:tblHeader w:val="0"/>
        </w:trPr>
        <w:tc>
          <w:tcPr/>
          <w:p w:rsidR="00000000" w:rsidDel="00000000" w:rsidP="00000000" w:rsidRDefault="00000000" w:rsidRPr="00000000" w14:paraId="00000053">
            <w:pPr>
              <w:ind w:right="26"/>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054">
            <w:pPr>
              <w:ind w:right="26"/>
              <w:rPr>
                <w:rFonts w:ascii="Tahoma" w:cs="Tahoma" w:eastAsia="Tahoma" w:hAnsi="Tahoma"/>
                <w:sz w:val="20"/>
                <w:szCs w:val="20"/>
              </w:rPr>
            </w:pPr>
            <w:r w:rsidDel="00000000" w:rsidR="00000000" w:rsidRPr="00000000">
              <w:rPr>
                <w:rFonts w:ascii="Tahoma" w:cs="Tahoma" w:eastAsia="Tahoma" w:hAnsi="Tahoma"/>
                <w:sz w:val="20"/>
                <w:szCs w:val="20"/>
                <w:rtl w:val="0"/>
              </w:rPr>
              <w:t xml:space="preserve">24-03-2025</w:t>
            </w:r>
          </w:p>
        </w:tc>
        <w:tc>
          <w:tcPr/>
          <w:p w:rsidR="00000000" w:rsidDel="00000000" w:rsidP="00000000" w:rsidRDefault="00000000" w:rsidRPr="00000000" w14:paraId="00000055">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56">
            <w:pPr>
              <w:ind w:right="26"/>
              <w:rPr>
                <w:rFonts w:ascii="Tahoma" w:cs="Tahoma" w:eastAsia="Tahoma" w:hAnsi="Tahoma"/>
                <w:sz w:val="20"/>
                <w:szCs w:val="20"/>
              </w:rPr>
            </w:pPr>
            <w:r w:rsidDel="00000000" w:rsidR="00000000" w:rsidRPr="00000000">
              <w:rPr>
                <w:rFonts w:ascii="Tahoma" w:cs="Tahoma" w:eastAsia="Tahoma" w:hAnsi="Tahoma"/>
                <w:sz w:val="20"/>
                <w:szCs w:val="20"/>
                <w:rtl w:val="0"/>
              </w:rPr>
              <w:t xml:space="preserve">1-13</w:t>
            </w:r>
          </w:p>
        </w:tc>
        <w:tc>
          <w:tcPr/>
          <w:p w:rsidR="00000000" w:rsidDel="00000000" w:rsidP="00000000" w:rsidRDefault="00000000" w:rsidRPr="00000000" w14:paraId="00000057">
            <w:pPr>
              <w:ind w:right="26"/>
              <w:rPr>
                <w:rFonts w:ascii="Tahoma" w:cs="Tahoma" w:eastAsia="Tahoma" w:hAnsi="Tahoma"/>
                <w:sz w:val="20"/>
                <w:szCs w:val="20"/>
              </w:rPr>
            </w:pPr>
            <w:r w:rsidDel="00000000" w:rsidR="00000000" w:rsidRPr="00000000">
              <w:rPr>
                <w:rFonts w:ascii="Tahoma" w:cs="Tahoma" w:eastAsia="Tahoma" w:hAnsi="Tahoma"/>
                <w:sz w:val="20"/>
                <w:szCs w:val="20"/>
              </w:rPr>
              <w:drawing>
                <wp:inline distB="114300" distT="114300" distL="114300" distR="114300">
                  <wp:extent cx="1325476" cy="897121"/>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1325476" cy="897121"/>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58">
            <w:pPr>
              <w:ind w:right="26"/>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59">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5A">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5B">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5C">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5D">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5E">
            <w:pPr>
              <w:ind w:right="26"/>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5F">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0">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1">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2">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3">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4">
            <w:pPr>
              <w:ind w:right="26"/>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65">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6">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7">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8">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9">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A">
            <w:pPr>
              <w:ind w:right="26"/>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6B">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C">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D">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E">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6F">
            <w:pPr>
              <w:ind w:right="26"/>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70">
            <w:pPr>
              <w:ind w:right="26"/>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71">
      <w:pPr>
        <w:ind w:right="26"/>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72">
      <w:pPr>
        <w:ind w:right="26"/>
        <w:rPr>
          <w:rFonts w:ascii="Tahoma" w:cs="Tahoma" w:eastAsia="Tahoma" w:hAnsi="Tahoma"/>
          <w:sz w:val="22"/>
          <w:szCs w:val="22"/>
        </w:rPr>
      </w:pPr>
      <w:r w:rsidDel="00000000" w:rsidR="00000000" w:rsidRPr="00000000">
        <w:rPr>
          <w:rFonts w:ascii="Tahoma" w:cs="Tahoma" w:eastAsia="Tahoma" w:hAnsi="Tahoma"/>
          <w:sz w:val="22"/>
          <w:szCs w:val="22"/>
          <w:rtl w:val="0"/>
        </w:rPr>
        <w:tab/>
        <w:tab/>
        <w:tab/>
        <w:t xml:space="preserve">    </w:t>
      </w:r>
    </w:p>
    <w:p w:rsidR="00000000" w:rsidDel="00000000" w:rsidP="00000000" w:rsidRDefault="00000000" w:rsidRPr="00000000" w14:paraId="00000073">
      <w:pPr>
        <w:ind w:right="26"/>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74">
      <w:pPr>
        <w:ind w:right="26"/>
        <w:rPr>
          <w:rFonts w:ascii="Tahoma" w:cs="Tahoma" w:eastAsia="Tahoma" w:hAnsi="Tahoma"/>
          <w:sz w:val="22"/>
          <w:szCs w:val="22"/>
        </w:rPr>
      </w:pPr>
      <w:r w:rsidDel="00000000" w:rsidR="00000000" w:rsidRPr="00000000">
        <w:rPr>
          <w:rtl w:val="0"/>
        </w:rPr>
      </w:r>
    </w:p>
    <w:sectPr>
      <w:pgSz w:h="16840" w:w="11907" w:orient="portrait"/>
      <w:pgMar w:bottom="340" w:top="1151"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
    <w:lvl w:ilvl="0">
      <w:start w:val="1"/>
      <w:numFmt w:val="upperRoman"/>
      <w:lvlText w:val="%1."/>
      <w:lvlJc w:val="right"/>
      <w:pPr>
        <w:ind w:left="360" w:hanging="360"/>
      </w:pPr>
      <w:rPr>
        <w:b w:val="1"/>
        <w:sz w:val="22"/>
        <w:szCs w:val="22"/>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ind w:left="-900" w:right="-694" w:firstLine="900"/>
    </w:pPr>
    <w:rPr>
      <w:rFonts w:ascii="Arial" w:cs="Arial" w:eastAsia="Arial" w:hAnsi="Arial"/>
      <w:u w:val="single"/>
    </w:rPr>
  </w:style>
  <w:style w:type="paragraph" w:styleId="Heading2">
    <w:name w:val="heading 2"/>
    <w:basedOn w:val="Normal"/>
    <w:next w:val="Normal"/>
    <w:pPr>
      <w:keepNext w:val="1"/>
    </w:pPr>
    <w:rPr>
      <w:rFonts w:ascii="Arial" w:cs="Arial" w:eastAsia="Arial" w:hAnsi="Arial"/>
      <w:u w:val="single"/>
    </w:rPr>
  </w:style>
  <w:style w:type="paragraph" w:styleId="Heading3">
    <w:name w:val="heading 3"/>
    <w:basedOn w:val="Normal"/>
    <w:next w:val="Normal"/>
    <w:pPr>
      <w:keepNext w:val="1"/>
      <w:ind w:right="26"/>
    </w:pPr>
    <w:rPr>
      <w:rFonts w:ascii="Arial" w:cs="Arial" w:eastAsia="Arial" w:hAnsi="Arial"/>
      <w:u w:val="single"/>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0x01010047619C50047C9743A1A19A1813F2F42C</vt:lpwstr>
  </property>
  <property fmtid="{D5CDD505-2E9C-101B-9397-08002B2CF9AE}" pid="3" name="MediaServiceImageTags">
    <vt:lpwstr>MediaServiceImageTags</vt:lpwstr>
  </property>
</Properties>
</file>