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027AD" w:rsidRDefault="000E279B">
      <w:pPr>
        <w:pStyle w:val="Body"/>
        <w:spacing w:after="100"/>
        <w:jc w:val="center"/>
        <w:rPr>
          <w:b/>
          <w:bCs/>
          <w:sz w:val="26"/>
          <w:szCs w:val="26"/>
        </w:rPr>
      </w:pPr>
      <w:r>
        <w:rPr>
          <w:b/>
          <w:bCs/>
          <w:sz w:val="26"/>
          <w:szCs w:val="26"/>
        </w:rPr>
        <w:t xml:space="preserve">Scaling up agroecological practices in the ‘mixed grains’ action site in Estelí and </w:t>
      </w:r>
      <w:proofErr w:type="spellStart"/>
      <w:r>
        <w:rPr>
          <w:b/>
          <w:bCs/>
          <w:sz w:val="26"/>
          <w:szCs w:val="26"/>
        </w:rPr>
        <w:t>Condega</w:t>
      </w:r>
      <w:proofErr w:type="spellEnd"/>
      <w:r>
        <w:rPr>
          <w:b/>
          <w:bCs/>
          <w:sz w:val="26"/>
          <w:szCs w:val="26"/>
        </w:rPr>
        <w:t>, Nicaragua</w:t>
      </w:r>
    </w:p>
    <w:p w:rsidR="003027AD" w:rsidRDefault="003027AD">
      <w:pPr>
        <w:pStyle w:val="Body"/>
        <w:spacing w:after="100"/>
        <w:rPr>
          <w:b/>
          <w:bCs/>
          <w:sz w:val="24"/>
          <w:szCs w:val="24"/>
        </w:rPr>
      </w:pPr>
    </w:p>
    <w:p w:rsidR="003027AD" w:rsidRPr="00484724" w:rsidRDefault="000E279B">
      <w:pPr>
        <w:pStyle w:val="Body"/>
        <w:jc w:val="right"/>
        <w:rPr>
          <w:lang w:val="es-NI"/>
        </w:rPr>
      </w:pPr>
      <w:r>
        <w:rPr>
          <w:i/>
          <w:iCs/>
          <w:sz w:val="24"/>
          <w:szCs w:val="24"/>
        </w:rPr>
        <w:tab/>
      </w:r>
      <w:r>
        <w:rPr>
          <w:i/>
          <w:iCs/>
          <w:sz w:val="24"/>
          <w:szCs w:val="24"/>
        </w:rPr>
        <w:tab/>
      </w:r>
      <w:r>
        <w:rPr>
          <w:i/>
          <w:iCs/>
          <w:sz w:val="24"/>
          <w:szCs w:val="24"/>
        </w:rPr>
        <w:tab/>
      </w:r>
      <w:r>
        <w:rPr>
          <w:i/>
          <w:iCs/>
          <w:sz w:val="24"/>
          <w:szCs w:val="24"/>
        </w:rPr>
        <w:tab/>
      </w:r>
      <w:r>
        <w:rPr>
          <w:i/>
          <w:iCs/>
          <w:sz w:val="24"/>
          <w:szCs w:val="24"/>
        </w:rPr>
        <w:tab/>
      </w:r>
      <w:r>
        <w:rPr>
          <w:i/>
          <w:iCs/>
          <w:sz w:val="24"/>
          <w:szCs w:val="24"/>
        </w:rPr>
        <w:tab/>
      </w:r>
      <w:r>
        <w:rPr>
          <w:i/>
          <w:iCs/>
          <w:sz w:val="24"/>
          <w:szCs w:val="24"/>
        </w:rPr>
        <w:tab/>
      </w:r>
      <w:r>
        <w:rPr>
          <w:i/>
          <w:iCs/>
          <w:sz w:val="24"/>
          <w:szCs w:val="24"/>
        </w:rPr>
        <w:tab/>
      </w:r>
      <w:r>
        <w:rPr>
          <w:i/>
          <w:iCs/>
          <w:sz w:val="24"/>
          <w:szCs w:val="24"/>
        </w:rPr>
        <w:tab/>
      </w:r>
      <w:r w:rsidRPr="00484724">
        <w:rPr>
          <w:lang w:val="es-NI"/>
        </w:rPr>
        <w:t>Katharina Schiller</w:t>
      </w:r>
    </w:p>
    <w:p w:rsidR="003027AD" w:rsidRPr="00484724" w:rsidRDefault="000E279B">
      <w:pPr>
        <w:pStyle w:val="Body"/>
        <w:jc w:val="right"/>
        <w:rPr>
          <w:lang w:val="es-NI"/>
        </w:rPr>
      </w:pPr>
      <w:r w:rsidRPr="00484724">
        <w:rPr>
          <w:lang w:val="es-NI"/>
        </w:rPr>
        <w:t>Centro Internacional de Agricultura Tropical (CIAT)</w:t>
      </w:r>
    </w:p>
    <w:p w:rsidR="003027AD" w:rsidRDefault="000E279B">
      <w:pPr>
        <w:pStyle w:val="Body"/>
        <w:jc w:val="right"/>
      </w:pPr>
      <w:r>
        <w:t xml:space="preserve">Knowledge, Technology and Innovation </w:t>
      </w:r>
      <w:proofErr w:type="spellStart"/>
      <w:r>
        <w:t>chairgroup</w:t>
      </w:r>
      <w:proofErr w:type="spellEnd"/>
      <w:r>
        <w:t>, Wageningen University</w:t>
      </w:r>
    </w:p>
    <w:p w:rsidR="003027AD" w:rsidRDefault="000E279B">
      <w:pPr>
        <w:pStyle w:val="Body"/>
        <w:jc w:val="right"/>
      </w:pPr>
      <w:r>
        <w:t>katharina.schiller@wur.nl</w:t>
      </w:r>
    </w:p>
    <w:p w:rsidR="003027AD" w:rsidRDefault="003027AD">
      <w:pPr>
        <w:pStyle w:val="Body"/>
        <w:spacing w:after="100"/>
        <w:rPr>
          <w:i/>
          <w:iCs/>
          <w:sz w:val="24"/>
          <w:szCs w:val="24"/>
        </w:rPr>
      </w:pPr>
    </w:p>
    <w:p w:rsidR="003027AD" w:rsidRDefault="000E279B">
      <w:pPr>
        <w:pStyle w:val="Body"/>
        <w:spacing w:after="100"/>
        <w:rPr>
          <w:b/>
          <w:bCs/>
          <w:i/>
          <w:iCs/>
          <w:sz w:val="24"/>
          <w:szCs w:val="24"/>
        </w:rPr>
      </w:pPr>
      <w:r>
        <w:rPr>
          <w:b/>
          <w:bCs/>
          <w:i/>
          <w:iCs/>
          <w:sz w:val="24"/>
          <w:szCs w:val="24"/>
        </w:rPr>
        <w:t>Overview of project</w:t>
      </w:r>
    </w:p>
    <w:p w:rsidR="003027AD" w:rsidRDefault="000E279B">
      <w:pPr>
        <w:pStyle w:val="Body"/>
        <w:spacing w:after="100"/>
        <w:jc w:val="both"/>
        <w:rPr>
          <w:sz w:val="24"/>
          <w:szCs w:val="24"/>
        </w:rPr>
      </w:pPr>
      <w:r>
        <w:rPr>
          <w:sz w:val="24"/>
          <w:szCs w:val="24"/>
        </w:rPr>
        <w:t xml:space="preserve">Although the scaling up of agroecology in Nicaragua has the support of the government (through 2011’s Law 765, concerning organic and agroecological production), of civil society organizations (through </w:t>
      </w:r>
      <w:proofErr w:type="spellStart"/>
      <w:r>
        <w:rPr>
          <w:sz w:val="24"/>
          <w:szCs w:val="24"/>
        </w:rPr>
        <w:t>eg</w:t>
      </w:r>
      <w:proofErr w:type="spellEnd"/>
      <w:r>
        <w:rPr>
          <w:sz w:val="24"/>
          <w:szCs w:val="24"/>
        </w:rPr>
        <w:t xml:space="preserve"> MAON</w:t>
      </w:r>
      <w:r>
        <w:rPr>
          <w:sz w:val="24"/>
          <w:szCs w:val="24"/>
        </w:rPr>
        <w:t xml:space="preserve">IC, the national umbrella association of agroecological producers), and of many farmers (through 34 years of the </w:t>
      </w:r>
      <w:proofErr w:type="spellStart"/>
      <w:r>
        <w:rPr>
          <w:sz w:val="24"/>
          <w:szCs w:val="24"/>
        </w:rPr>
        <w:t>Programa</w:t>
      </w:r>
      <w:proofErr w:type="spellEnd"/>
      <w:r>
        <w:rPr>
          <w:sz w:val="24"/>
          <w:szCs w:val="24"/>
        </w:rPr>
        <w:t xml:space="preserve"> </w:t>
      </w:r>
      <w:proofErr w:type="spellStart"/>
      <w:r>
        <w:rPr>
          <w:sz w:val="24"/>
          <w:szCs w:val="24"/>
        </w:rPr>
        <w:t>Campesino</w:t>
      </w:r>
      <w:proofErr w:type="spellEnd"/>
      <w:r>
        <w:rPr>
          <w:sz w:val="24"/>
          <w:szCs w:val="24"/>
        </w:rPr>
        <w:t xml:space="preserve"> a </w:t>
      </w:r>
      <w:proofErr w:type="spellStart"/>
      <w:r>
        <w:rPr>
          <w:sz w:val="24"/>
          <w:szCs w:val="24"/>
        </w:rPr>
        <w:t>Campesino’s</w:t>
      </w:r>
      <w:proofErr w:type="spellEnd"/>
      <w:r>
        <w:rPr>
          <w:sz w:val="24"/>
          <w:szCs w:val="24"/>
        </w:rPr>
        <w:t xml:space="preserve"> outreach), the adoption of agroecological practices amongst farmers is stagnating. Through a case study of an </w:t>
      </w:r>
      <w:r>
        <w:rPr>
          <w:sz w:val="24"/>
          <w:szCs w:val="24"/>
        </w:rPr>
        <w:t>innovation platform (</w:t>
      </w:r>
      <w:proofErr w:type="gramStart"/>
      <w:r>
        <w:rPr>
          <w:sz w:val="24"/>
          <w:szCs w:val="24"/>
        </w:rPr>
        <w:t>IP)</w:t>
      </w:r>
      <w:proofErr w:type="gramEnd"/>
      <w:r>
        <w:rPr>
          <w:sz w:val="24"/>
          <w:szCs w:val="24"/>
        </w:rPr>
        <w:t xml:space="preserve"> working with smallholders in Estelí and </w:t>
      </w:r>
      <w:proofErr w:type="spellStart"/>
      <w:r>
        <w:rPr>
          <w:sz w:val="24"/>
          <w:szCs w:val="24"/>
        </w:rPr>
        <w:t>Condega</w:t>
      </w:r>
      <w:proofErr w:type="spellEnd"/>
      <w:r>
        <w:rPr>
          <w:sz w:val="24"/>
          <w:szCs w:val="24"/>
        </w:rPr>
        <w:t xml:space="preserve">, IP actors and farmers identified constraints and opportunities to scaling up agroecological practices. </w:t>
      </w:r>
    </w:p>
    <w:p w:rsidR="003027AD" w:rsidRDefault="003027AD">
      <w:pPr>
        <w:pStyle w:val="Body"/>
        <w:spacing w:after="100"/>
        <w:rPr>
          <w:b/>
          <w:bCs/>
          <w:i/>
          <w:iCs/>
          <w:sz w:val="24"/>
          <w:szCs w:val="24"/>
        </w:rPr>
      </w:pPr>
    </w:p>
    <w:p w:rsidR="003027AD" w:rsidRDefault="000E279B">
      <w:pPr>
        <w:pStyle w:val="Body"/>
        <w:spacing w:after="100"/>
        <w:rPr>
          <w:b/>
          <w:bCs/>
          <w:i/>
          <w:iCs/>
          <w:sz w:val="24"/>
          <w:szCs w:val="24"/>
        </w:rPr>
      </w:pPr>
      <w:r>
        <w:rPr>
          <w:b/>
          <w:bCs/>
          <w:i/>
          <w:iCs/>
          <w:sz w:val="24"/>
          <w:szCs w:val="24"/>
        </w:rPr>
        <w:t>Overview of methodology</w:t>
      </w:r>
    </w:p>
    <w:p w:rsidR="003027AD" w:rsidRDefault="000E279B">
      <w:pPr>
        <w:pStyle w:val="Body"/>
        <w:spacing w:after="100"/>
        <w:jc w:val="both"/>
        <w:rPr>
          <w:sz w:val="24"/>
          <w:szCs w:val="24"/>
        </w:rPr>
      </w:pPr>
      <w:r>
        <w:rPr>
          <w:sz w:val="24"/>
          <w:szCs w:val="24"/>
        </w:rPr>
        <w:t>The study included qualitative and quantitative metho</w:t>
      </w:r>
      <w:r>
        <w:rPr>
          <w:sz w:val="24"/>
          <w:szCs w:val="24"/>
        </w:rPr>
        <w:t xml:space="preserve">ds of data gathering and analysis. </w:t>
      </w:r>
      <w:proofErr w:type="gramStart"/>
      <w:r>
        <w:rPr>
          <w:sz w:val="24"/>
          <w:szCs w:val="24"/>
        </w:rPr>
        <w:t xml:space="preserve">Qualitative data was gathered during semi-structured interviews with actors engaged in the </w:t>
      </w:r>
      <w:r>
        <w:rPr>
          <w:sz w:val="24"/>
          <w:szCs w:val="24"/>
        </w:rPr>
        <w:t>‘</w:t>
      </w:r>
      <w:r>
        <w:rPr>
          <w:sz w:val="24"/>
          <w:szCs w:val="24"/>
        </w:rPr>
        <w:t>basic grains &amp; ranching</w:t>
      </w:r>
      <w:r>
        <w:rPr>
          <w:sz w:val="24"/>
          <w:szCs w:val="24"/>
        </w:rPr>
        <w:t xml:space="preserve">’ </w:t>
      </w:r>
      <w:r>
        <w:rPr>
          <w:sz w:val="24"/>
          <w:szCs w:val="24"/>
        </w:rPr>
        <w:t>IP and the broader Nicaraguan agroecological innovation system; two workshops (one with (non)agroecologi</w:t>
      </w:r>
      <w:r>
        <w:rPr>
          <w:sz w:val="24"/>
          <w:szCs w:val="24"/>
        </w:rPr>
        <w:t>cal smallholder farmers; one with IP actors) based in Rapid Appraisal of Agricultural Innovation Systems methodology</w:t>
      </w:r>
      <w:r w:rsidR="00484724">
        <w:rPr>
          <w:sz w:val="24"/>
          <w:szCs w:val="24"/>
        </w:rPr>
        <w:t xml:space="preserve"> </w:t>
      </w:r>
      <w:r w:rsidR="00484724">
        <w:rPr>
          <w:sz w:val="24"/>
          <w:szCs w:val="24"/>
        </w:rPr>
        <w:fldChar w:fldCharType="begin" w:fldLock="1"/>
      </w:r>
      <w:r w:rsidR="00484724">
        <w:rPr>
          <w:sz w:val="24"/>
          <w:szCs w:val="24"/>
        </w:rPr>
        <w:instrText>ADDIN CSL_CITATION {"citationItems":[{"id":"ITEM-1","itemData":{"DOI":"10.1016/j.agsy.2014.08.009","ISBN":"0308-521X","ISSN":"0308521X","abstract":"This paper introduces Rapid Appraisal of Agricultural Innovation Systems (RAAIS). RAAIS is a diagnostic tool that can guide the analysis of complex agricultural problems and innovation capacity of the agricultural system in which the complex agricultural problem is embedded. RAAIS focuses on the integrated analysis of different dimensions of problems (e.g. biophysical, technological, socio-cultural, economic, institutional and political), interactions across different levels (e.g. national, regional, local), and the constraints and interests of different stakeholder groups (farmers, government, researchers, etc.). Innovation capacity in the agricultural system is studied by analysing (1) constraints within the institutional, sectoral and technological subsystems of the agricultural system, and (2) the existence and performance of the agricultural innovation support system. RAAIS combines multiple qualitative and quantitative methods, and insider (stakeholders) and outsider (researchers) analyses which allow for critical triangulation and validation of the gathered data. Such an analysis can provide specific entry points for innovations to address the complex agricultural problem under study, and generic entry points for innovation related to strengthening the innovation capacity of agricultural system and the functioning of the agricultural innovation support system. The application of RAAIS to analyse parasitic weed problems in the rice sector, conducted in Tanzania and Benin, demonstrates the potential of the diagnostic tool and provides recommendations for its further development and use.","author":[{"dropping-particle":"","family":"Schut","given":"Marc","non-dropping-particle":"","parse-names":false,"suffix":""},{"dropping-particle":"","family":"Klerkx","given":"Laurens","non-dropping-particle":"","parse-names":false,"suffix":""},{"dropping-particle":"","family":"Rodenburg","given":"Jonne","non-dropping-particle":"","parse-names":false,"suffix":""},{"dropping-particle":"","family":"Kayeke","given":"Juma","non-dropping-particle":"","parse-names":false,"suffix":""},{"dropping-particle":"","family":"Hinnou","given":"Léonard C.","non-dropping-particle":"","parse-names":false,"suffix":""},{"dropping-particle":"","family":"Raboanarielina","given":"Cara M.","non-dropping-particle":"","parse-names":false,"suffix":""},{"dropping-particle":"","family":"Adegbola","given":"Patrice Y.","non-dropping-particle":"","parse-names":false,"suffix":""},{"dropping-particle":"","family":"Ast","given":"Aad","non-dropping-particle":"van","parse-names":false,"suffix":""},{"dropping-particle":"","family":"Bastiaans","given":"Lammert","non-dropping-particle":"","parse-names":false,"suffix":""}],"container-title":"Agricultural Systems","id":"ITEM-1","issue":"C","issued":{"date-parts":[["2015"]]},"page":"1-11","publisher":"The Authors","title":"RAAIS: Rapid Appraisal of Agricultural Innovation Systems (Part I). A diagnostic tool for integrated analysis of complex problems and innovation capacity","type":"article-journal","volume":"132"},"uris":["http://www.mendeley.com/documents/?uuid=79252858-529b-4a37-9a3b-59361de9cec3"]}],"mendeley":{"formattedCitation":"(Schut et al. 2015)","plainTextFormattedCitation":"(Schut et al. 2015)","previouslyFormattedCitation":"(Schut et al. 2015)"},"properties":{"noteIndex":0},"schema":"https://github.com/citation-style-language/schema/raw/master/csl-citation.json"}</w:instrText>
      </w:r>
      <w:r w:rsidR="00484724">
        <w:rPr>
          <w:sz w:val="24"/>
          <w:szCs w:val="24"/>
        </w:rPr>
        <w:fldChar w:fldCharType="separate"/>
      </w:r>
      <w:r w:rsidR="00484724" w:rsidRPr="00484724">
        <w:rPr>
          <w:noProof/>
          <w:sz w:val="24"/>
          <w:szCs w:val="24"/>
        </w:rPr>
        <w:t>(Schut et al. 2015)</w:t>
      </w:r>
      <w:r w:rsidR="00484724">
        <w:rPr>
          <w:sz w:val="24"/>
          <w:szCs w:val="24"/>
        </w:rPr>
        <w:fldChar w:fldCharType="end"/>
      </w:r>
      <w:r>
        <w:rPr>
          <w:sz w:val="24"/>
          <w:szCs w:val="24"/>
        </w:rPr>
        <w:t>; personal</w:t>
      </w:r>
      <w:r>
        <w:rPr>
          <w:sz w:val="24"/>
          <w:szCs w:val="24"/>
        </w:rPr>
        <w:t xml:space="preserve"> observations from workshops, meetings, and field visits; informal conversations with local inhabitants and IP </w:t>
      </w:r>
      <w:r>
        <w:rPr>
          <w:sz w:val="24"/>
          <w:szCs w:val="24"/>
        </w:rPr>
        <w:t>actors; and a review of scientific and grey literature.</w:t>
      </w:r>
      <w:proofErr w:type="gramEnd"/>
      <w:r>
        <w:rPr>
          <w:sz w:val="24"/>
          <w:szCs w:val="24"/>
        </w:rPr>
        <w:t xml:space="preserve"> </w:t>
      </w:r>
    </w:p>
    <w:p w:rsidR="003027AD" w:rsidRDefault="000E279B">
      <w:pPr>
        <w:pStyle w:val="Body"/>
        <w:spacing w:after="100"/>
        <w:jc w:val="both"/>
        <w:rPr>
          <w:sz w:val="24"/>
          <w:szCs w:val="24"/>
        </w:rPr>
      </w:pPr>
      <w:r>
        <w:rPr>
          <w:sz w:val="24"/>
          <w:szCs w:val="24"/>
        </w:rPr>
        <w:t xml:space="preserve">Information from the workshops and interviews was triangulated with data from scientific literature; reports from different branches of the Nicaraguan government; reports from </w:t>
      </w:r>
      <w:proofErr w:type="gramStart"/>
      <w:r>
        <w:rPr>
          <w:sz w:val="24"/>
          <w:szCs w:val="24"/>
        </w:rPr>
        <w:t>national</w:t>
      </w:r>
      <w:proofErr w:type="gramEnd"/>
      <w:r>
        <w:rPr>
          <w:sz w:val="24"/>
          <w:szCs w:val="24"/>
        </w:rPr>
        <w:t xml:space="preserve"> and internatio</w:t>
      </w:r>
      <w:r>
        <w:rPr>
          <w:sz w:val="24"/>
          <w:szCs w:val="24"/>
        </w:rPr>
        <w:t>nal NGOs; articles from newspapers in Estel</w:t>
      </w:r>
      <w:r>
        <w:rPr>
          <w:sz w:val="24"/>
          <w:szCs w:val="24"/>
        </w:rPr>
        <w:t xml:space="preserve">í </w:t>
      </w:r>
      <w:r>
        <w:rPr>
          <w:sz w:val="24"/>
          <w:szCs w:val="24"/>
        </w:rPr>
        <w:t xml:space="preserve">and Nicaragua; official statistics from the Nicaraguan government; and reports from regional and international research institutions. </w:t>
      </w:r>
    </w:p>
    <w:p w:rsidR="003027AD" w:rsidRDefault="000E279B">
      <w:pPr>
        <w:pStyle w:val="Body"/>
        <w:spacing w:after="100"/>
        <w:jc w:val="both"/>
        <w:rPr>
          <w:sz w:val="24"/>
          <w:szCs w:val="24"/>
        </w:rPr>
      </w:pPr>
      <w:r>
        <w:rPr>
          <w:sz w:val="24"/>
          <w:szCs w:val="24"/>
        </w:rPr>
        <w:t>Quantitative data was gathered using an amended Values, Beliefs, and Norms s</w:t>
      </w:r>
      <w:r>
        <w:rPr>
          <w:sz w:val="24"/>
          <w:szCs w:val="24"/>
        </w:rPr>
        <w:t>urvey (VBN;</w:t>
      </w:r>
      <w:r w:rsidR="00484724">
        <w:rPr>
          <w:smallCaps/>
          <w:sz w:val="24"/>
          <w:szCs w:val="24"/>
        </w:rPr>
        <w:t xml:space="preserve"> </w:t>
      </w:r>
      <w:r w:rsidR="00484724">
        <w:rPr>
          <w:smallCaps/>
          <w:sz w:val="24"/>
          <w:szCs w:val="24"/>
        </w:rPr>
        <w:fldChar w:fldCharType="begin" w:fldLock="1"/>
      </w:r>
      <w:r w:rsidR="00DC1C2B">
        <w:rPr>
          <w:smallCaps/>
          <w:sz w:val="24"/>
          <w:szCs w:val="24"/>
        </w:rPr>
        <w:instrText>ADDIN CSL_CITATION {"citationItems":[{"id":"ITEM-1","itemData":{"DOI":"10.1111/0022-4537.00175","ISBN":"0022-4537","ISSN":"1540-4560","PMID":"1106","abstract":"This article develops a conceptual framework for advancing theories of environ- mentally significant individual behavior and reports on the attempts of the author’s research group and others to develop such a theory. It discusses defini- tions of environmentally significant behavior; classifies the behaviors and their causes; assesses theories of environmentalism, focusing especially on value-belief-norm theory; evaluates the relationship between environmental concern and behavior; and summarizes evidence on the factors that determine environmentally significant behaviors and that can effectively alter them. The article concludes by presenting some major propositions supported by available research and some principles for guiding future research and informing the design of behavioral programs for environmental protection. Recent","author":[{"dropping-particle":"","family":"Stern","given":"Paul C","non-dropping-particle":"","parse-names":false,"suffix":""}],"container-title":"Journal of Social Issues","id":"ITEM-1","issue":"3","issued":{"date-parts":[["2000"]]},"page":"407-424","title":"Toward a Coherent Theory of Environmentally Significant Behavior","type":"article-journal","volume":"56"},"uris":["http://www.mendeley.com/documents/?uuid=60960a3f-4f8c-4a68-a480-b1347e82afa1"]}],"mendeley":{"formattedCitation":"(Stern 2000)","plainTextFormattedCitation":"(Stern 2000)","previouslyFormattedCitation":"(Stern 2000)"},"properties":{"noteIndex":0},"schema":"https://github.com/citation-style-language/schema/raw/master/csl-citation.json"}</w:instrText>
      </w:r>
      <w:r w:rsidR="00484724">
        <w:rPr>
          <w:smallCaps/>
          <w:sz w:val="24"/>
          <w:szCs w:val="24"/>
        </w:rPr>
        <w:fldChar w:fldCharType="separate"/>
      </w:r>
      <w:r w:rsidR="00484724" w:rsidRPr="00484724">
        <w:rPr>
          <w:noProof/>
          <w:sz w:val="24"/>
          <w:szCs w:val="24"/>
        </w:rPr>
        <w:t>(Stern 2000)</w:t>
      </w:r>
      <w:r w:rsidR="00484724">
        <w:rPr>
          <w:smallCaps/>
          <w:sz w:val="24"/>
          <w:szCs w:val="24"/>
        </w:rPr>
        <w:fldChar w:fldCharType="end"/>
      </w:r>
      <w:r>
        <w:rPr>
          <w:sz w:val="24"/>
          <w:szCs w:val="24"/>
        </w:rPr>
        <w:t xml:space="preserve">) of 120 (non)agroecological farmers. Respondents rated answers on a five-point Likert scale, with </w:t>
      </w:r>
      <w:proofErr w:type="gramStart"/>
      <w:r>
        <w:rPr>
          <w:sz w:val="24"/>
          <w:szCs w:val="24"/>
        </w:rPr>
        <w:t>1</w:t>
      </w:r>
      <w:proofErr w:type="gramEnd"/>
      <w:r>
        <w:rPr>
          <w:sz w:val="24"/>
          <w:szCs w:val="24"/>
        </w:rPr>
        <w:t xml:space="preserve"> being the lowest and 5 the highest rating. VBN provides variables to study farmers’ individual moral motivations to use agroecologica</w:t>
      </w:r>
      <w:r>
        <w:rPr>
          <w:sz w:val="24"/>
          <w:szCs w:val="24"/>
        </w:rPr>
        <w:t xml:space="preserve">l practices. The VBN survey was adapted to include an environmental concerns scale </w:t>
      </w:r>
      <w:r w:rsidR="00DC1C2B">
        <w:rPr>
          <w:sz w:val="24"/>
          <w:szCs w:val="24"/>
        </w:rPr>
        <w:fldChar w:fldCharType="begin" w:fldLock="1"/>
      </w:r>
      <w:r w:rsidR="00DC1C2B">
        <w:rPr>
          <w:sz w:val="24"/>
          <w:szCs w:val="24"/>
        </w:rPr>
        <w:instrText>ADDIN CSL_CITATION {"citationItems":[{"id":"ITEM-1","itemData":{"DOI":"10.1111/0022-4537.00174","ISSN":"00224537","abstract":"In this article. I propose that concern for environmental problems is fundamentally linked to the degree to which people view themselves as part of the natural environment. Two studies are reported that test aspects of this theory. The first study describes the structure of people's concern for environmental problems. Results from a confirmatory factor analysis showed a clear three-factor structure, which I labeled egoistic, altruistic, and biospheric. A second study examined the effects of a perspective-taking manipulation on egoistic, social-altruistic, and biospheric environmental concerns. Results showed that participants instructed to take the perspective of an animal being harmed by pollution scored significantly higher in biospheric environmental concerns than participants instructed to remain objective.","author":[{"dropping-particle":"","family":"Schultz","given":"P. Wesley","non-dropping-particle":"","parse-names":false,"suffix":""}],"container-title":"Journal of Social Issues","id":"ITEM-1","issue":"3","issued":{"date-parts":[["2000"]]},"page":"391-406","title":"Empathizing with nature: The effects of perspective talking on concern for environmental issues","type":"article-journal","volume":"56"},"uris":["http://www.mendeley.com/documents/?uuid=8e16d787-8f71-481b-a07f-175abf070feb"]}],"mendeley":{"formattedCitation":"(Schultz 2000)","plainTextFormattedCitation":"(Schultz 2000)","previouslyFormattedCitation":"(Schultz 2000)"},"properties":{"noteIndex":0},"schema":"https://github.com/citation-style-language/schema/raw/master/csl-citation.json"}</w:instrText>
      </w:r>
      <w:r w:rsidR="00DC1C2B">
        <w:rPr>
          <w:sz w:val="24"/>
          <w:szCs w:val="24"/>
        </w:rPr>
        <w:fldChar w:fldCharType="separate"/>
      </w:r>
      <w:r w:rsidR="00DC1C2B" w:rsidRPr="00DC1C2B">
        <w:rPr>
          <w:noProof/>
          <w:sz w:val="24"/>
          <w:szCs w:val="24"/>
        </w:rPr>
        <w:t>(Schultz 2000)</w:t>
      </w:r>
      <w:r w:rsidR="00DC1C2B">
        <w:rPr>
          <w:sz w:val="24"/>
          <w:szCs w:val="24"/>
        </w:rPr>
        <w:fldChar w:fldCharType="end"/>
      </w:r>
      <w:r>
        <w:rPr>
          <w:sz w:val="24"/>
          <w:szCs w:val="24"/>
        </w:rPr>
        <w:t xml:space="preserve">; additionally, it was complemented by variables based on more pragmatic drivers concerning individuals’ perceptions of self-efficacy and their impressions of </w:t>
      </w:r>
      <w:r>
        <w:rPr>
          <w:sz w:val="24"/>
          <w:szCs w:val="24"/>
        </w:rPr>
        <w:t>the benefits of using agroecological practices</w:t>
      </w:r>
      <w:r w:rsidR="00DC1C2B">
        <w:rPr>
          <w:sz w:val="24"/>
          <w:szCs w:val="24"/>
        </w:rPr>
        <w:t xml:space="preserve"> </w:t>
      </w:r>
      <w:r w:rsidR="00DC1C2B">
        <w:rPr>
          <w:sz w:val="24"/>
          <w:szCs w:val="24"/>
        </w:rPr>
        <w:fldChar w:fldCharType="begin" w:fldLock="1"/>
      </w:r>
      <w:r w:rsidR="00DC1C2B">
        <w:rPr>
          <w:sz w:val="24"/>
          <w:szCs w:val="24"/>
        </w:rPr>
        <w:instrText>ADDIN CSL_CITATION {"citationItems":[{"id":"ITEM-1","itemData":{"author":[{"dropping-particle":"","family":"Slovic","given":"Paul","non-dropping-particle":"","parse-names":false,"suffix":""}],"container-title":"Science","id":"ITEM-1","issue":"4799","issued":{"date-parts":[["1987","4"]]},"page":"280-285","title":"Perception of Risk","type":"article-journal","volume":"236"},"uris":["http://www.mendeley.com/documents/?uuid=81c720a0-50c2-44d4-8f3d-31ebc8c1b965"]},{"id":"ITEM-2","itemData":{"DOI":"10.1016/j.jrurstud.2013.10.001","ISBN":"0743-0167","ISSN":"07430167","abstract":"Pro-environmental agricultural approaches have been developed, but their uptake has not been sufficient to mitigate environmental degradation. A lack of suitable theoretical frameworks limits research on farmers' environmental behaviours, and there has been little integration of social sciences in the agricultural adoption literature. This paper details a predictive model of pro-environmental agricultural practices, drawing on psychological frameworks: Value-Belief-Norms and Theory of Planned Behaviour. Dry-land farmers in Central New South Wales, Australia (n=422), were surveyed about behaviours deemed to have positive impacts on the environment by local natural resource management authorities. A rigorous measure of complex land management practice is developed in relation to native vegetation, weeds, soil, stock, and perennials. The model was able to predict 52% of the variance in complex behaviour. Contextual factors, values, attitudes, and norms are identified as important predictors. Results suggest skills and abilities, environmental constraints, biospheric values, and a sense of being able to control one's destiny are significant precursors to pro-environmental practices. The NRM policy context and policy implications are discussed. Holistic strategies and social learning processes are identified as beneficial for farmer well-being and environmental outcomes. © 2014.","author":[{"dropping-particle":"","family":"Price","given":"Jennifer C.","non-dropping-particle":"","parse-names":false,"suffix":""},{"dropping-particle":"","family":"Leviston","given":"Zoe","non-dropping-particle":"","parse-names":false,"suffix":""}],"container-title":"Journal of Rural Studies","id":"ITEM-2","issue":"C","issued":{"date-parts":[["2014","4"]]},"page":"65-78","publisher":"Elsevier Ltd","title":"Predicting pro-environmental agricultural practices: The social, psychological and contextual influences on land management","type":"article-journal","volume":"34"},"uris":["http://www.mendeley.com/documents/?uuid=e5f82ebe-afe7-44ae-90c6-1f7a5a735622"]}],"mendeley":{"formattedCitation":"(Slovic 1987; Price and Leviston 2014)","plainTextFormattedCitation":"(Slovic 1987; Price and Leviston 2014)","previouslyFormattedCitation":"(Slovic 1987; Price and Leviston 2014)"},"properties":{"noteIndex":0},"schema":"https://github.com/citation-style-language/schema/raw/master/csl-citation.json"}</w:instrText>
      </w:r>
      <w:r w:rsidR="00DC1C2B">
        <w:rPr>
          <w:sz w:val="24"/>
          <w:szCs w:val="24"/>
        </w:rPr>
        <w:fldChar w:fldCharType="separate"/>
      </w:r>
      <w:r w:rsidR="00DC1C2B" w:rsidRPr="00DC1C2B">
        <w:rPr>
          <w:noProof/>
          <w:sz w:val="24"/>
          <w:szCs w:val="24"/>
        </w:rPr>
        <w:t>(Slovic 1987; Price and Leviston 2014)</w:t>
      </w:r>
      <w:r w:rsidR="00DC1C2B">
        <w:rPr>
          <w:sz w:val="24"/>
          <w:szCs w:val="24"/>
        </w:rPr>
        <w:fldChar w:fldCharType="end"/>
      </w:r>
      <w:r>
        <w:rPr>
          <w:sz w:val="24"/>
          <w:szCs w:val="24"/>
        </w:rPr>
        <w:t xml:space="preserve">. Farmers </w:t>
      </w:r>
      <w:proofErr w:type="gramStart"/>
      <w:r>
        <w:rPr>
          <w:sz w:val="24"/>
          <w:szCs w:val="24"/>
        </w:rPr>
        <w:t>were identified and asked to participate in the survey, as well as in the workshop, through the local producer organizations active around Estel</w:t>
      </w:r>
      <w:r>
        <w:rPr>
          <w:sz w:val="24"/>
          <w:szCs w:val="24"/>
        </w:rPr>
        <w:t xml:space="preserve">í </w:t>
      </w:r>
      <w:r>
        <w:rPr>
          <w:sz w:val="24"/>
          <w:szCs w:val="24"/>
        </w:rPr>
        <w:t xml:space="preserve">and </w:t>
      </w:r>
      <w:proofErr w:type="spellStart"/>
      <w:r>
        <w:rPr>
          <w:sz w:val="24"/>
          <w:szCs w:val="24"/>
        </w:rPr>
        <w:t>Condega</w:t>
      </w:r>
      <w:proofErr w:type="spellEnd"/>
      <w:proofErr w:type="gramEnd"/>
      <w:r>
        <w:rPr>
          <w:sz w:val="24"/>
          <w:szCs w:val="24"/>
        </w:rPr>
        <w:t>.</w:t>
      </w:r>
      <w:r>
        <w:rPr>
          <w:sz w:val="24"/>
          <w:szCs w:val="24"/>
        </w:rPr>
        <w:t xml:space="preserve"> </w:t>
      </w:r>
      <w:r>
        <w:rPr>
          <w:sz w:val="24"/>
          <w:szCs w:val="24"/>
        </w:rPr>
        <w:t>E</w:t>
      </w:r>
      <w:r>
        <w:rPr>
          <w:sz w:val="24"/>
          <w:szCs w:val="24"/>
        </w:rPr>
        <w:t>a</w:t>
      </w:r>
      <w:r>
        <w:rPr>
          <w:sz w:val="24"/>
          <w:szCs w:val="24"/>
        </w:rPr>
        <w:t>ch organi</w:t>
      </w:r>
      <w:r>
        <w:rPr>
          <w:sz w:val="24"/>
          <w:szCs w:val="24"/>
        </w:rPr>
        <w:t xml:space="preserve">zation </w:t>
      </w:r>
      <w:proofErr w:type="gramStart"/>
      <w:r>
        <w:rPr>
          <w:sz w:val="24"/>
          <w:szCs w:val="24"/>
        </w:rPr>
        <w:t>was asked</w:t>
      </w:r>
      <w:proofErr w:type="gramEnd"/>
      <w:r>
        <w:rPr>
          <w:sz w:val="24"/>
          <w:szCs w:val="24"/>
        </w:rPr>
        <w:t xml:space="preserve"> to identify two of their areas, one with a high adoption rate of agroecological </w:t>
      </w:r>
      <w:r>
        <w:rPr>
          <w:sz w:val="24"/>
          <w:szCs w:val="24"/>
        </w:rPr>
        <w:lastRenderedPageBreak/>
        <w:t xml:space="preserve">practices, and one with a low adoption rate. Within these identified areas, the respondents </w:t>
      </w:r>
      <w:proofErr w:type="gramStart"/>
      <w:r>
        <w:rPr>
          <w:sz w:val="24"/>
          <w:szCs w:val="24"/>
        </w:rPr>
        <w:t>were approached</w:t>
      </w:r>
      <w:proofErr w:type="gramEnd"/>
      <w:r>
        <w:rPr>
          <w:sz w:val="24"/>
          <w:szCs w:val="24"/>
        </w:rPr>
        <w:t xml:space="preserve"> through snowball sampling. The study wante</w:t>
      </w:r>
      <w:r>
        <w:rPr>
          <w:sz w:val="24"/>
          <w:szCs w:val="24"/>
        </w:rPr>
        <w:t>d to capture the perspectives of both sexes and a wide range in age; the snowball sampling thus also had a focus on approaching male, female and youth respondents. Prior to rolling out the survey, semi-structured interviews on farm</w:t>
      </w:r>
      <w:r>
        <w:rPr>
          <w:sz w:val="24"/>
          <w:szCs w:val="24"/>
        </w:rPr>
        <w:t xml:space="preserve"> management</w:t>
      </w:r>
      <w:r>
        <w:rPr>
          <w:sz w:val="24"/>
          <w:szCs w:val="24"/>
        </w:rPr>
        <w:t xml:space="preserve"> methods and practices used, and problems faced </w:t>
      </w:r>
      <w:proofErr w:type="gramStart"/>
      <w:r>
        <w:rPr>
          <w:sz w:val="24"/>
          <w:szCs w:val="24"/>
        </w:rPr>
        <w:t>were held</w:t>
      </w:r>
      <w:proofErr w:type="gramEnd"/>
      <w:r>
        <w:rPr>
          <w:sz w:val="24"/>
          <w:szCs w:val="24"/>
        </w:rPr>
        <w:t xml:space="preserve"> with nine farmers in the villages of St. Geronimo and </w:t>
      </w:r>
      <w:proofErr w:type="spellStart"/>
      <w:r>
        <w:rPr>
          <w:sz w:val="24"/>
          <w:szCs w:val="24"/>
        </w:rPr>
        <w:t>Jocote</w:t>
      </w:r>
      <w:proofErr w:type="spellEnd"/>
      <w:r>
        <w:rPr>
          <w:sz w:val="24"/>
          <w:szCs w:val="24"/>
        </w:rPr>
        <w:t xml:space="preserve">, both in the municipality of </w:t>
      </w:r>
      <w:proofErr w:type="spellStart"/>
      <w:r>
        <w:rPr>
          <w:sz w:val="24"/>
          <w:szCs w:val="24"/>
        </w:rPr>
        <w:t>Condega</w:t>
      </w:r>
      <w:proofErr w:type="spellEnd"/>
      <w:r>
        <w:rPr>
          <w:sz w:val="24"/>
          <w:szCs w:val="24"/>
        </w:rPr>
        <w:t>, to gather contextual information to hone the survey questions.</w:t>
      </w:r>
    </w:p>
    <w:p w:rsidR="003027AD" w:rsidRDefault="003027AD">
      <w:pPr>
        <w:pStyle w:val="Body"/>
        <w:spacing w:after="100"/>
        <w:rPr>
          <w:i/>
          <w:iCs/>
          <w:sz w:val="24"/>
          <w:szCs w:val="24"/>
        </w:rPr>
      </w:pPr>
    </w:p>
    <w:p w:rsidR="003027AD" w:rsidRDefault="000E279B">
      <w:pPr>
        <w:pStyle w:val="Body"/>
        <w:spacing w:after="100"/>
        <w:rPr>
          <w:b/>
          <w:bCs/>
          <w:i/>
          <w:iCs/>
          <w:sz w:val="24"/>
          <w:szCs w:val="24"/>
        </w:rPr>
      </w:pPr>
      <w:r>
        <w:rPr>
          <w:b/>
          <w:bCs/>
          <w:i/>
          <w:iCs/>
          <w:sz w:val="24"/>
          <w:szCs w:val="24"/>
        </w:rPr>
        <w:t>Project activities and participants</w:t>
      </w:r>
    </w:p>
    <w:p w:rsidR="003027AD" w:rsidRDefault="003027AD">
      <w:pPr>
        <w:pStyle w:val="Body"/>
        <w:spacing w:after="100"/>
        <w:rPr>
          <w:i/>
          <w:iCs/>
          <w:sz w:val="24"/>
          <w:szCs w:val="24"/>
        </w:rPr>
      </w:pPr>
    </w:p>
    <w:p w:rsidR="003027AD" w:rsidRDefault="000E279B">
      <w:pPr>
        <w:pStyle w:val="Body"/>
        <w:spacing w:after="100"/>
        <w:rPr>
          <w:i/>
          <w:iCs/>
          <w:sz w:val="24"/>
          <w:szCs w:val="24"/>
        </w:rPr>
      </w:pPr>
      <w:r>
        <w:rPr>
          <w:i/>
          <w:iCs/>
          <w:sz w:val="24"/>
          <w:szCs w:val="24"/>
        </w:rPr>
        <w:t>Workshops</w:t>
      </w:r>
    </w:p>
    <w:p w:rsidR="003027AD" w:rsidRDefault="000E279B">
      <w:pPr>
        <w:pStyle w:val="Body"/>
        <w:spacing w:after="100"/>
        <w:jc w:val="both"/>
        <w:rPr>
          <w:sz w:val="24"/>
          <w:szCs w:val="24"/>
        </w:rPr>
      </w:pPr>
      <w:r>
        <w:rPr>
          <w:sz w:val="24"/>
          <w:szCs w:val="24"/>
        </w:rPr>
        <w:t xml:space="preserve">The workshop with farmers </w:t>
      </w:r>
      <w:proofErr w:type="gramStart"/>
      <w:r>
        <w:rPr>
          <w:sz w:val="24"/>
          <w:szCs w:val="24"/>
        </w:rPr>
        <w:t>was held</w:t>
      </w:r>
      <w:proofErr w:type="gramEnd"/>
      <w:r>
        <w:rPr>
          <w:sz w:val="24"/>
          <w:szCs w:val="24"/>
        </w:rPr>
        <w:t xml:space="preserve"> on Oct. 10, 2014, at Casa ASDENIC (the office of the civil society organization ASDENIC) in Estelí. Nine farmers from six </w:t>
      </w:r>
      <w:proofErr w:type="gramStart"/>
      <w:r>
        <w:rPr>
          <w:sz w:val="24"/>
          <w:szCs w:val="24"/>
        </w:rPr>
        <w:t>organizations  (</w:t>
      </w:r>
      <w:proofErr w:type="gramEnd"/>
      <w:r>
        <w:rPr>
          <w:sz w:val="24"/>
          <w:szCs w:val="24"/>
        </w:rPr>
        <w:t xml:space="preserve">3 women, 6 men) participated in the workshop (see Table 2). </w:t>
      </w:r>
      <w:proofErr w:type="gramStart"/>
      <w:r>
        <w:rPr>
          <w:sz w:val="24"/>
          <w:szCs w:val="24"/>
        </w:rPr>
        <w:t xml:space="preserve">During the </w:t>
      </w:r>
      <w:r>
        <w:rPr>
          <w:sz w:val="24"/>
          <w:szCs w:val="24"/>
        </w:rPr>
        <w:t xml:space="preserve">workshop, farmers described the current farming systems in their area, and exchanged views on how more agroecological farming systems would look, through rich pictures; discussed their perceptions of barriers to and opportunities arising from the adoption </w:t>
      </w:r>
      <w:r>
        <w:rPr>
          <w:sz w:val="24"/>
          <w:szCs w:val="24"/>
        </w:rPr>
        <w:t>of agroecological practices; worked as a group to rank the five main barriers and opportunities; and identified entry points and action plans to surmount the five main barriers ascertained.</w:t>
      </w:r>
      <w:proofErr w:type="gramEnd"/>
      <w:r>
        <w:rPr>
          <w:sz w:val="24"/>
          <w:szCs w:val="24"/>
        </w:rPr>
        <w:t xml:space="preserve">   </w:t>
      </w:r>
    </w:p>
    <w:p w:rsidR="003027AD" w:rsidRDefault="000E279B">
      <w:pPr>
        <w:pStyle w:val="Body"/>
        <w:spacing w:after="100"/>
        <w:jc w:val="both"/>
        <w:rPr>
          <w:sz w:val="24"/>
          <w:szCs w:val="24"/>
        </w:rPr>
      </w:pPr>
      <w:r>
        <w:rPr>
          <w:sz w:val="24"/>
          <w:szCs w:val="24"/>
        </w:rPr>
        <w:t xml:space="preserve">The workshop with IP actors </w:t>
      </w:r>
      <w:proofErr w:type="gramStart"/>
      <w:r>
        <w:rPr>
          <w:sz w:val="24"/>
          <w:szCs w:val="24"/>
        </w:rPr>
        <w:t>was held</w:t>
      </w:r>
      <w:proofErr w:type="gramEnd"/>
      <w:r>
        <w:rPr>
          <w:sz w:val="24"/>
          <w:szCs w:val="24"/>
        </w:rPr>
        <w:t xml:space="preserve"> on Oct. 14, 2014, at Casa </w:t>
      </w:r>
      <w:r>
        <w:rPr>
          <w:sz w:val="24"/>
          <w:szCs w:val="24"/>
        </w:rPr>
        <w:t>ASDENIC in Estelí. Nine representatives from seven organizations (1 woman, 8 men) participated in the workshop (see Table 2). During the workshop, a first discussion elicited ideas on what ‘agroecology’ entails; rich pictures of practices used in agroecolo</w:t>
      </w:r>
      <w:r>
        <w:rPr>
          <w:sz w:val="24"/>
          <w:szCs w:val="24"/>
        </w:rPr>
        <w:t xml:space="preserve">gical systems were constructed and discussed; strengths and weaknesses of the agroecological innovation system </w:t>
      </w:r>
      <w:proofErr w:type="gramStart"/>
      <w:r>
        <w:rPr>
          <w:sz w:val="24"/>
          <w:szCs w:val="24"/>
        </w:rPr>
        <w:t>were detailed</w:t>
      </w:r>
      <w:proofErr w:type="gramEnd"/>
      <w:r>
        <w:rPr>
          <w:sz w:val="24"/>
          <w:szCs w:val="24"/>
        </w:rPr>
        <w:t xml:space="preserve"> from the perspective of each organization. The participants then brainstormed on barriers to the scaling up of agroecology, determi</w:t>
      </w:r>
      <w:r>
        <w:rPr>
          <w:sz w:val="24"/>
          <w:szCs w:val="24"/>
        </w:rPr>
        <w:t xml:space="preserve">ned the five main barriers, and identified entry points to address these barriers.  </w:t>
      </w:r>
    </w:p>
    <w:tbl>
      <w:tblPr>
        <w:tblW w:w="9355"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871"/>
        <w:gridCol w:w="1871"/>
        <w:gridCol w:w="1871"/>
        <w:gridCol w:w="1870"/>
        <w:gridCol w:w="1872"/>
      </w:tblGrid>
      <w:tr w:rsidR="003027AD">
        <w:trPr>
          <w:trHeight w:val="260"/>
          <w:tblHeader/>
        </w:trPr>
        <w:tc>
          <w:tcPr>
            <w:tcW w:w="9355" w:type="dxa"/>
            <w:gridSpan w:val="5"/>
            <w:tcBorders>
              <w:top w:val="nil"/>
              <w:left w:val="nil"/>
              <w:bottom w:val="nil"/>
              <w:right w:val="nil"/>
            </w:tcBorders>
            <w:shd w:val="clear" w:color="auto" w:fill="auto"/>
            <w:tcMar>
              <w:top w:w="80" w:type="dxa"/>
              <w:left w:w="80" w:type="dxa"/>
              <w:bottom w:w="80" w:type="dxa"/>
              <w:right w:w="80" w:type="dxa"/>
            </w:tcMar>
            <w:vAlign w:val="center"/>
          </w:tcPr>
          <w:p w:rsidR="003027AD" w:rsidRDefault="000E279B">
            <w:pPr>
              <w:pStyle w:val="TableTitle1"/>
            </w:pPr>
            <w:r>
              <w:rPr>
                <w:sz w:val="22"/>
                <w:szCs w:val="22"/>
              </w:rPr>
              <w:t xml:space="preserve">Table 2: Study </w:t>
            </w:r>
            <w:proofErr w:type="spellStart"/>
            <w:r>
              <w:rPr>
                <w:sz w:val="22"/>
                <w:szCs w:val="22"/>
              </w:rPr>
              <w:t>participants</w:t>
            </w:r>
            <w:proofErr w:type="spellEnd"/>
          </w:p>
        </w:tc>
      </w:tr>
      <w:tr w:rsidR="003027AD">
        <w:tblPrEx>
          <w:shd w:val="clear" w:color="auto" w:fill="BDC0BF"/>
        </w:tblPrEx>
        <w:trPr>
          <w:trHeight w:val="448"/>
          <w:tblHeader/>
        </w:trPr>
        <w:tc>
          <w:tcPr>
            <w:tcW w:w="1871" w:type="dxa"/>
            <w:tcBorders>
              <w:top w:val="single" w:sz="2" w:space="0" w:color="000000"/>
              <w:left w:val="single" w:sz="2" w:space="0" w:color="000000"/>
              <w:bottom w:val="single" w:sz="4" w:space="0" w:color="000000"/>
              <w:right w:val="single" w:sz="2" w:space="0" w:color="000000"/>
            </w:tcBorders>
            <w:shd w:val="clear" w:color="auto" w:fill="BDC0BF"/>
            <w:tcMar>
              <w:top w:w="80" w:type="dxa"/>
              <w:left w:w="80" w:type="dxa"/>
              <w:bottom w:w="80" w:type="dxa"/>
              <w:right w:w="80" w:type="dxa"/>
            </w:tcMar>
          </w:tcPr>
          <w:p w:rsidR="003027AD" w:rsidRDefault="000E279B">
            <w:pPr>
              <w:pStyle w:val="TableStyle1"/>
            </w:pPr>
            <w:proofErr w:type="spellStart"/>
            <w:r>
              <w:rPr>
                <w:sz w:val="18"/>
                <w:szCs w:val="18"/>
              </w:rPr>
              <w:t>Organization</w:t>
            </w:r>
            <w:proofErr w:type="spellEnd"/>
          </w:p>
        </w:tc>
        <w:tc>
          <w:tcPr>
            <w:tcW w:w="1871" w:type="dxa"/>
            <w:tcBorders>
              <w:top w:val="single" w:sz="2" w:space="0" w:color="000000"/>
              <w:left w:val="single" w:sz="2" w:space="0" w:color="000000"/>
              <w:bottom w:val="single" w:sz="4" w:space="0" w:color="000000"/>
              <w:right w:val="single" w:sz="2" w:space="0" w:color="000000"/>
            </w:tcBorders>
            <w:shd w:val="clear" w:color="auto" w:fill="BDC0BF"/>
            <w:tcMar>
              <w:top w:w="80" w:type="dxa"/>
              <w:left w:w="80" w:type="dxa"/>
              <w:bottom w:w="80" w:type="dxa"/>
              <w:right w:w="80" w:type="dxa"/>
            </w:tcMar>
          </w:tcPr>
          <w:p w:rsidR="003027AD" w:rsidRDefault="000E279B">
            <w:pPr>
              <w:pStyle w:val="TableStyle1"/>
            </w:pPr>
            <w:r>
              <w:rPr>
                <w:sz w:val="18"/>
                <w:szCs w:val="18"/>
              </w:rPr>
              <w:t xml:space="preserve">Farmer </w:t>
            </w:r>
            <w:proofErr w:type="spellStart"/>
            <w:r>
              <w:rPr>
                <w:sz w:val="18"/>
                <w:szCs w:val="18"/>
              </w:rPr>
              <w:t>workshop</w:t>
            </w:r>
            <w:proofErr w:type="spellEnd"/>
          </w:p>
        </w:tc>
        <w:tc>
          <w:tcPr>
            <w:tcW w:w="1871" w:type="dxa"/>
            <w:tcBorders>
              <w:top w:val="single" w:sz="2" w:space="0" w:color="000000"/>
              <w:left w:val="single" w:sz="2" w:space="0" w:color="000000"/>
              <w:bottom w:val="single" w:sz="4" w:space="0" w:color="000000"/>
              <w:right w:val="single" w:sz="2" w:space="0" w:color="000000"/>
            </w:tcBorders>
            <w:shd w:val="clear" w:color="auto" w:fill="BDC0BF"/>
            <w:tcMar>
              <w:top w:w="80" w:type="dxa"/>
              <w:left w:w="80" w:type="dxa"/>
              <w:bottom w:w="80" w:type="dxa"/>
              <w:right w:w="80" w:type="dxa"/>
            </w:tcMar>
          </w:tcPr>
          <w:p w:rsidR="003027AD" w:rsidRDefault="000E279B">
            <w:pPr>
              <w:pStyle w:val="TableStyle1"/>
            </w:pPr>
            <w:r>
              <w:rPr>
                <w:sz w:val="18"/>
                <w:szCs w:val="18"/>
              </w:rPr>
              <w:t xml:space="preserve">IP </w:t>
            </w:r>
            <w:proofErr w:type="spellStart"/>
            <w:r>
              <w:rPr>
                <w:sz w:val="18"/>
                <w:szCs w:val="18"/>
              </w:rPr>
              <w:t>actor</w:t>
            </w:r>
            <w:proofErr w:type="spellEnd"/>
            <w:r>
              <w:rPr>
                <w:sz w:val="18"/>
                <w:szCs w:val="18"/>
              </w:rPr>
              <w:t xml:space="preserve"> </w:t>
            </w:r>
            <w:proofErr w:type="spellStart"/>
            <w:r>
              <w:rPr>
                <w:sz w:val="18"/>
                <w:szCs w:val="18"/>
              </w:rPr>
              <w:t>workshop</w:t>
            </w:r>
            <w:proofErr w:type="spellEnd"/>
          </w:p>
        </w:tc>
        <w:tc>
          <w:tcPr>
            <w:tcW w:w="1870" w:type="dxa"/>
            <w:tcBorders>
              <w:top w:val="single" w:sz="2" w:space="0" w:color="000000"/>
              <w:left w:val="single" w:sz="2" w:space="0" w:color="000000"/>
              <w:bottom w:val="single" w:sz="4" w:space="0" w:color="000000"/>
              <w:right w:val="single" w:sz="2" w:space="0" w:color="000000"/>
            </w:tcBorders>
            <w:shd w:val="clear" w:color="auto" w:fill="BDC0BF"/>
            <w:tcMar>
              <w:top w:w="80" w:type="dxa"/>
              <w:left w:w="80" w:type="dxa"/>
              <w:bottom w:w="80" w:type="dxa"/>
              <w:right w:w="80" w:type="dxa"/>
            </w:tcMar>
          </w:tcPr>
          <w:p w:rsidR="003027AD" w:rsidRDefault="000E279B">
            <w:pPr>
              <w:pStyle w:val="TableStyle1"/>
            </w:pPr>
            <w:r>
              <w:rPr>
                <w:sz w:val="18"/>
                <w:szCs w:val="18"/>
              </w:rPr>
              <w:t>Survey</w:t>
            </w:r>
          </w:p>
        </w:tc>
        <w:tc>
          <w:tcPr>
            <w:tcW w:w="1871" w:type="dxa"/>
            <w:tcBorders>
              <w:top w:val="single" w:sz="2" w:space="0" w:color="000000"/>
              <w:left w:val="single" w:sz="2" w:space="0" w:color="000000"/>
              <w:bottom w:val="single" w:sz="4" w:space="0" w:color="000000"/>
              <w:right w:val="single" w:sz="2" w:space="0" w:color="000000"/>
            </w:tcBorders>
            <w:shd w:val="clear" w:color="auto" w:fill="BDC0BF"/>
            <w:tcMar>
              <w:top w:w="80" w:type="dxa"/>
              <w:left w:w="80" w:type="dxa"/>
              <w:bottom w:w="80" w:type="dxa"/>
              <w:right w:w="80" w:type="dxa"/>
            </w:tcMar>
          </w:tcPr>
          <w:p w:rsidR="003027AD" w:rsidRDefault="000E279B">
            <w:pPr>
              <w:pStyle w:val="TableStyle1"/>
            </w:pPr>
            <w:r>
              <w:rPr>
                <w:sz w:val="18"/>
                <w:szCs w:val="18"/>
              </w:rPr>
              <w:t xml:space="preserve">Key </w:t>
            </w:r>
            <w:proofErr w:type="spellStart"/>
            <w:r>
              <w:rPr>
                <w:sz w:val="18"/>
                <w:szCs w:val="18"/>
              </w:rPr>
              <w:t>stakeholder</w:t>
            </w:r>
            <w:proofErr w:type="spellEnd"/>
            <w:r>
              <w:rPr>
                <w:sz w:val="18"/>
                <w:szCs w:val="18"/>
              </w:rPr>
              <w:t xml:space="preserve"> interview</w:t>
            </w:r>
          </w:p>
        </w:tc>
      </w:tr>
      <w:tr w:rsidR="003027AD">
        <w:trPr>
          <w:trHeight w:val="248"/>
        </w:trPr>
        <w:tc>
          <w:tcPr>
            <w:tcW w:w="1871" w:type="dxa"/>
            <w:tcBorders>
              <w:top w:val="single" w:sz="4"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color w:val="008E00"/>
                <w:sz w:val="16"/>
                <w:szCs w:val="16"/>
              </w:rPr>
              <w:t>UNAG</w:t>
            </w:r>
          </w:p>
        </w:tc>
        <w:tc>
          <w:tcPr>
            <w:tcW w:w="1871" w:type="dxa"/>
            <w:tcBorders>
              <w:top w:val="single" w:sz="4" w:space="0" w:color="000000"/>
              <w:left w:val="single" w:sz="4"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1"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1"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proofErr w:type="spellStart"/>
            <w:r>
              <w:rPr>
                <w:color w:val="008E00"/>
                <w:sz w:val="16"/>
                <w:szCs w:val="16"/>
              </w:rPr>
              <w:t>Foro</w:t>
            </w:r>
            <w:proofErr w:type="spellEnd"/>
            <w:r>
              <w:rPr>
                <w:color w:val="008E00"/>
                <w:sz w:val="16"/>
                <w:szCs w:val="16"/>
              </w:rPr>
              <w:t xml:space="preserve"> </w:t>
            </w:r>
            <w:proofErr w:type="spellStart"/>
            <w:r>
              <w:rPr>
                <w:color w:val="008E00"/>
                <w:sz w:val="16"/>
                <w:szCs w:val="16"/>
              </w:rPr>
              <w:t>Miraflor</w:t>
            </w:r>
            <w:proofErr w:type="spellEnd"/>
          </w:p>
        </w:tc>
        <w:tc>
          <w:tcPr>
            <w:tcW w:w="1871" w:type="dxa"/>
            <w:tcBorders>
              <w:top w:val="single" w:sz="2" w:space="0" w:color="000000"/>
              <w:left w:val="single" w:sz="4"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color w:val="008E00"/>
                <w:sz w:val="16"/>
                <w:szCs w:val="16"/>
              </w:rPr>
              <w:t>ASDENIC</w:t>
            </w:r>
          </w:p>
        </w:tc>
        <w:tc>
          <w:tcPr>
            <w:tcW w:w="1871" w:type="dxa"/>
            <w:tcBorders>
              <w:top w:val="single" w:sz="2" w:space="0" w:color="000000"/>
              <w:left w:val="single" w:sz="4"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color w:val="008E00"/>
                <w:sz w:val="16"/>
                <w:szCs w:val="16"/>
              </w:rPr>
              <w:t>OCTUPAN</w:t>
            </w:r>
          </w:p>
        </w:tc>
        <w:tc>
          <w:tcPr>
            <w:tcW w:w="1871" w:type="dxa"/>
            <w:tcBorders>
              <w:top w:val="single" w:sz="2" w:space="0" w:color="000000"/>
              <w:left w:val="single" w:sz="4"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color w:val="008E00"/>
                <w:sz w:val="16"/>
                <w:szCs w:val="16"/>
              </w:rPr>
              <w:t>FEM</w:t>
            </w:r>
          </w:p>
        </w:tc>
        <w:tc>
          <w:tcPr>
            <w:tcW w:w="1871" w:type="dxa"/>
            <w:tcBorders>
              <w:top w:val="single" w:sz="2" w:space="0" w:color="000000"/>
              <w:left w:val="single" w:sz="4"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color w:val="521B92"/>
                <w:sz w:val="16"/>
                <w:szCs w:val="16"/>
              </w:rPr>
              <w:t>MAONIC</w:t>
            </w:r>
          </w:p>
        </w:tc>
        <w:tc>
          <w:tcPr>
            <w:tcW w:w="1871" w:type="dxa"/>
            <w:tcBorders>
              <w:top w:val="single" w:sz="2" w:space="0" w:color="000000"/>
              <w:left w:val="single" w:sz="4"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color w:val="005392"/>
                <w:sz w:val="16"/>
                <w:szCs w:val="16"/>
              </w:rPr>
              <w:t xml:space="preserve">FAREM </w:t>
            </w:r>
            <w:proofErr w:type="spellStart"/>
            <w:r>
              <w:rPr>
                <w:color w:val="005392"/>
                <w:sz w:val="16"/>
                <w:szCs w:val="16"/>
              </w:rPr>
              <w:t>Estel</w:t>
            </w:r>
            <w:r>
              <w:rPr>
                <w:color w:val="005392"/>
                <w:sz w:val="16"/>
                <w:szCs w:val="16"/>
              </w:rPr>
              <w:t>í</w:t>
            </w:r>
            <w:proofErr w:type="spellEnd"/>
          </w:p>
        </w:tc>
        <w:tc>
          <w:tcPr>
            <w:tcW w:w="1871" w:type="dxa"/>
            <w:tcBorders>
              <w:top w:val="single" w:sz="2" w:space="0" w:color="000000"/>
              <w:left w:val="single" w:sz="4"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color w:val="005392"/>
                <w:sz w:val="16"/>
                <w:szCs w:val="16"/>
              </w:rPr>
              <w:t>UNI</w:t>
            </w:r>
          </w:p>
        </w:tc>
        <w:tc>
          <w:tcPr>
            <w:tcW w:w="1871" w:type="dxa"/>
            <w:tcBorders>
              <w:top w:val="single" w:sz="2" w:space="0" w:color="000000"/>
              <w:left w:val="single" w:sz="4"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sz w:val="16"/>
                <w:szCs w:val="16"/>
              </w:rPr>
              <w:lastRenderedPageBreak/>
              <w:t>IICA</w:t>
            </w:r>
          </w:p>
        </w:tc>
        <w:tc>
          <w:tcPr>
            <w:tcW w:w="1871" w:type="dxa"/>
            <w:tcBorders>
              <w:top w:val="single" w:sz="2" w:space="0" w:color="000000"/>
              <w:left w:val="single" w:sz="4"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sz w:val="16"/>
                <w:szCs w:val="16"/>
              </w:rPr>
              <w:t>CIAT</w:t>
            </w:r>
          </w:p>
        </w:tc>
        <w:tc>
          <w:tcPr>
            <w:tcW w:w="1871" w:type="dxa"/>
            <w:tcBorders>
              <w:top w:val="single" w:sz="2" w:space="0" w:color="000000"/>
              <w:left w:val="single" w:sz="4"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c>
          <w:tcPr>
            <w:tcW w:w="18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sz w:val="16"/>
                <w:szCs w:val="16"/>
              </w:rPr>
              <w:t>INTA</w:t>
            </w:r>
          </w:p>
        </w:tc>
        <w:tc>
          <w:tcPr>
            <w:tcW w:w="1871" w:type="dxa"/>
            <w:tcBorders>
              <w:top w:val="single" w:sz="2" w:space="0" w:color="000000"/>
              <w:left w:val="single" w:sz="4"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40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proofErr w:type="spellStart"/>
            <w:r>
              <w:rPr>
                <w:color w:val="935100"/>
                <w:sz w:val="16"/>
                <w:szCs w:val="16"/>
              </w:rPr>
              <w:t>Banco</w:t>
            </w:r>
            <w:proofErr w:type="spellEnd"/>
            <w:r>
              <w:rPr>
                <w:color w:val="935100"/>
                <w:sz w:val="16"/>
                <w:szCs w:val="16"/>
              </w:rPr>
              <w:t xml:space="preserve"> </w:t>
            </w:r>
            <w:proofErr w:type="spellStart"/>
            <w:r>
              <w:rPr>
                <w:color w:val="935100"/>
                <w:sz w:val="16"/>
                <w:szCs w:val="16"/>
              </w:rPr>
              <w:t>Produzcamos</w:t>
            </w:r>
            <w:proofErr w:type="spellEnd"/>
            <w:r>
              <w:rPr>
                <w:color w:val="935100"/>
                <w:sz w:val="16"/>
                <w:szCs w:val="16"/>
              </w:rPr>
              <w:t xml:space="preserve"> </w:t>
            </w:r>
            <w:proofErr w:type="spellStart"/>
            <w:r>
              <w:rPr>
                <w:color w:val="935100"/>
                <w:sz w:val="16"/>
                <w:szCs w:val="16"/>
              </w:rPr>
              <w:t>Estel</w:t>
            </w:r>
            <w:r>
              <w:rPr>
                <w:color w:val="935100"/>
                <w:sz w:val="16"/>
                <w:szCs w:val="16"/>
              </w:rPr>
              <w:t>í</w:t>
            </w:r>
            <w:proofErr w:type="spellEnd"/>
          </w:p>
        </w:tc>
        <w:tc>
          <w:tcPr>
            <w:tcW w:w="1871" w:type="dxa"/>
            <w:tcBorders>
              <w:top w:val="single" w:sz="2" w:space="0" w:color="000000"/>
              <w:left w:val="single" w:sz="4"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0"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5"/>
        </w:trPr>
        <w:tc>
          <w:tcPr>
            <w:tcW w:w="1871" w:type="dxa"/>
            <w:tcBorders>
              <w:top w:val="single" w:sz="2" w:space="0" w:color="000000"/>
              <w:left w:val="single" w:sz="2" w:space="0" w:color="000000"/>
              <w:bottom w:val="single" w:sz="2"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color w:val="935100"/>
                <w:sz w:val="16"/>
                <w:szCs w:val="16"/>
              </w:rPr>
              <w:t xml:space="preserve">Private </w:t>
            </w:r>
            <w:proofErr w:type="spellStart"/>
            <w:r>
              <w:rPr>
                <w:color w:val="935100"/>
                <w:sz w:val="16"/>
                <w:szCs w:val="16"/>
              </w:rPr>
              <w:t>consultant</w:t>
            </w:r>
            <w:proofErr w:type="spellEnd"/>
          </w:p>
        </w:tc>
        <w:tc>
          <w:tcPr>
            <w:tcW w:w="1871" w:type="dxa"/>
            <w:tcBorders>
              <w:top w:val="single" w:sz="2" w:space="0" w:color="000000"/>
              <w:left w:val="single" w:sz="4"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0"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8"/>
        </w:trPr>
        <w:tc>
          <w:tcPr>
            <w:tcW w:w="1871" w:type="dxa"/>
            <w:tcBorders>
              <w:top w:val="single" w:sz="2" w:space="0" w:color="000000"/>
              <w:left w:val="single" w:sz="2" w:space="0" w:color="000000"/>
              <w:bottom w:val="single" w:sz="4" w:space="0" w:color="000000"/>
              <w:right w:val="single" w:sz="4" w:space="0" w:color="000000"/>
            </w:tcBorders>
            <w:shd w:val="clear" w:color="auto" w:fill="E2E4E3"/>
            <w:tcMar>
              <w:top w:w="80" w:type="dxa"/>
              <w:left w:w="80" w:type="dxa"/>
              <w:bottom w:w="80" w:type="dxa"/>
              <w:right w:w="80" w:type="dxa"/>
            </w:tcMar>
          </w:tcPr>
          <w:p w:rsidR="003027AD" w:rsidRDefault="000E279B">
            <w:pPr>
              <w:pStyle w:val="TableStyle1"/>
            </w:pPr>
            <w:r>
              <w:rPr>
                <w:color w:val="FF2600"/>
                <w:sz w:val="16"/>
                <w:szCs w:val="16"/>
              </w:rPr>
              <w:t>FAO</w:t>
            </w:r>
          </w:p>
        </w:tc>
        <w:tc>
          <w:tcPr>
            <w:tcW w:w="1871" w:type="dxa"/>
            <w:tcBorders>
              <w:top w:val="single" w:sz="2" w:space="0" w:color="000000"/>
              <w:left w:val="single" w:sz="4" w:space="0" w:color="000000"/>
              <w:bottom w:val="single" w:sz="4"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4"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0" w:type="dxa"/>
            <w:tcBorders>
              <w:top w:val="single" w:sz="2" w:space="0" w:color="000000"/>
              <w:left w:val="single" w:sz="2" w:space="0" w:color="000000"/>
              <w:bottom w:val="single" w:sz="4" w:space="0" w:color="000000"/>
              <w:right w:val="single" w:sz="2" w:space="0" w:color="000000"/>
            </w:tcBorders>
            <w:shd w:val="clear" w:color="auto" w:fill="EEEEEE"/>
            <w:tcMar>
              <w:top w:w="80" w:type="dxa"/>
              <w:left w:w="80" w:type="dxa"/>
              <w:bottom w:w="80" w:type="dxa"/>
              <w:right w:w="80" w:type="dxa"/>
            </w:tcMar>
          </w:tcPr>
          <w:p w:rsidR="003027AD" w:rsidRDefault="003027AD"/>
        </w:tc>
        <w:tc>
          <w:tcPr>
            <w:tcW w:w="1871" w:type="dxa"/>
            <w:tcBorders>
              <w:top w:val="single" w:sz="2" w:space="0" w:color="000000"/>
              <w:left w:val="single" w:sz="2" w:space="0" w:color="000000"/>
              <w:bottom w:val="single" w:sz="4" w:space="0" w:color="000000"/>
              <w:right w:val="single" w:sz="2" w:space="0" w:color="000000"/>
            </w:tcBorders>
            <w:shd w:val="clear" w:color="auto" w:fill="EEEEEE"/>
            <w:tcMar>
              <w:top w:w="80" w:type="dxa"/>
              <w:left w:w="80" w:type="dxa"/>
              <w:bottom w:w="80" w:type="dxa"/>
              <w:right w:w="80" w:type="dxa"/>
            </w:tcMar>
          </w:tcPr>
          <w:p w:rsidR="003027AD" w:rsidRDefault="000E279B">
            <w:pPr>
              <w:pStyle w:val="TableStyle2"/>
            </w:pPr>
            <w:r>
              <w:rPr>
                <w:rFonts w:eastAsia="Arial Unicode MS" w:cs="Arial Unicode MS"/>
              </w:rPr>
              <w:t>x</w:t>
            </w:r>
          </w:p>
        </w:tc>
      </w:tr>
      <w:tr w:rsidR="003027AD">
        <w:trPr>
          <w:trHeight w:val="248"/>
        </w:trPr>
        <w:tc>
          <w:tcPr>
            <w:tcW w:w="1871"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1"/>
            </w:pPr>
            <w:r>
              <w:rPr>
                <w:rFonts w:eastAsia="Arial Unicode MS" w:cs="Arial Unicode MS"/>
              </w:rPr>
              <w:t xml:space="preserve">Total </w:t>
            </w:r>
            <w:proofErr w:type="spellStart"/>
            <w:r>
              <w:rPr>
                <w:rFonts w:eastAsia="Arial Unicode MS" w:cs="Arial Unicode MS"/>
              </w:rPr>
              <w:t>participants</w:t>
            </w:r>
            <w:proofErr w:type="spellEnd"/>
          </w:p>
        </w:tc>
        <w:tc>
          <w:tcPr>
            <w:tcW w:w="1871"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1"/>
            </w:pPr>
            <w:r>
              <w:rPr>
                <w:rFonts w:eastAsia="Arial Unicode MS" w:cs="Arial Unicode MS"/>
              </w:rPr>
              <w:t>9 (3f, 6m)</w:t>
            </w:r>
          </w:p>
        </w:tc>
        <w:tc>
          <w:tcPr>
            <w:tcW w:w="1871"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1"/>
            </w:pPr>
            <w:r>
              <w:rPr>
                <w:rFonts w:eastAsia="Arial Unicode MS" w:cs="Arial Unicode MS"/>
              </w:rPr>
              <w:t>9 (1f, 8m)</w:t>
            </w:r>
          </w:p>
        </w:tc>
        <w:tc>
          <w:tcPr>
            <w:tcW w:w="1870"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1"/>
            </w:pPr>
            <w:r>
              <w:rPr>
                <w:rFonts w:eastAsia="Arial Unicode MS" w:cs="Arial Unicode MS"/>
              </w:rPr>
              <w:t>120 (</w:t>
            </w:r>
            <w:proofErr w:type="spellStart"/>
            <w:r>
              <w:rPr>
                <w:rFonts w:eastAsia="Arial Unicode MS" w:cs="Arial Unicode MS"/>
              </w:rPr>
              <w:t>xf</w:t>
            </w:r>
            <w:proofErr w:type="spellEnd"/>
            <w:r>
              <w:rPr>
                <w:rFonts w:eastAsia="Arial Unicode MS" w:cs="Arial Unicode MS"/>
              </w:rPr>
              <w:t xml:space="preserve">, </w:t>
            </w:r>
            <w:proofErr w:type="spellStart"/>
            <w:r>
              <w:rPr>
                <w:rFonts w:eastAsia="Arial Unicode MS" w:cs="Arial Unicode MS"/>
              </w:rPr>
              <w:t>xm</w:t>
            </w:r>
            <w:proofErr w:type="spellEnd"/>
            <w:r>
              <w:rPr>
                <w:rFonts w:eastAsia="Arial Unicode MS" w:cs="Arial Unicode MS"/>
              </w:rPr>
              <w:t>)</w:t>
            </w:r>
          </w:p>
        </w:tc>
        <w:tc>
          <w:tcPr>
            <w:tcW w:w="1871" w:type="dxa"/>
            <w:tcBorders>
              <w:top w:val="single" w:sz="4" w:space="0" w:color="000000"/>
              <w:left w:val="single" w:sz="2" w:space="0" w:color="000000"/>
              <w:bottom w:val="single" w:sz="2" w:space="0" w:color="000000"/>
              <w:right w:val="single" w:sz="2" w:space="0" w:color="000000"/>
            </w:tcBorders>
            <w:shd w:val="clear" w:color="auto" w:fill="auto"/>
            <w:tcMar>
              <w:top w:w="80" w:type="dxa"/>
              <w:left w:w="80" w:type="dxa"/>
              <w:bottom w:w="80" w:type="dxa"/>
              <w:right w:w="80" w:type="dxa"/>
            </w:tcMar>
          </w:tcPr>
          <w:p w:rsidR="003027AD" w:rsidRDefault="000E279B">
            <w:pPr>
              <w:pStyle w:val="TableStyle1"/>
            </w:pPr>
            <w:r>
              <w:rPr>
                <w:rFonts w:eastAsia="Arial Unicode MS" w:cs="Arial Unicode MS"/>
              </w:rPr>
              <w:t>13 (2f, 11m)</w:t>
            </w:r>
          </w:p>
        </w:tc>
      </w:tr>
    </w:tbl>
    <w:p w:rsidR="003027AD" w:rsidRDefault="003027AD">
      <w:pPr>
        <w:pStyle w:val="Body"/>
        <w:spacing w:after="100"/>
        <w:jc w:val="both"/>
        <w:rPr>
          <w:sz w:val="24"/>
          <w:szCs w:val="24"/>
        </w:rPr>
      </w:pPr>
    </w:p>
    <w:p w:rsidR="003027AD" w:rsidRDefault="000E279B">
      <w:pPr>
        <w:pStyle w:val="Body"/>
        <w:spacing w:after="100"/>
        <w:jc w:val="both"/>
      </w:pPr>
      <w:r>
        <w:t>Green: producer organization; Purple: civil society organization; Blue: university; Black: research institute; Brown: financial institute; Red: international non-governmental organization.</w:t>
      </w:r>
    </w:p>
    <w:p w:rsidR="003027AD" w:rsidRDefault="003027AD">
      <w:pPr>
        <w:pStyle w:val="Body"/>
        <w:spacing w:after="100"/>
        <w:jc w:val="both"/>
        <w:rPr>
          <w:sz w:val="24"/>
          <w:szCs w:val="24"/>
        </w:rPr>
      </w:pPr>
    </w:p>
    <w:p w:rsidR="003027AD" w:rsidRDefault="000E279B">
      <w:pPr>
        <w:pStyle w:val="Body"/>
        <w:spacing w:after="100"/>
        <w:rPr>
          <w:i/>
          <w:iCs/>
          <w:sz w:val="24"/>
          <w:szCs w:val="24"/>
        </w:rPr>
      </w:pPr>
      <w:r>
        <w:rPr>
          <w:i/>
          <w:iCs/>
          <w:sz w:val="24"/>
          <w:szCs w:val="24"/>
        </w:rPr>
        <w:t>Survey</w:t>
      </w:r>
    </w:p>
    <w:p w:rsidR="003027AD" w:rsidRDefault="000E279B">
      <w:pPr>
        <w:pStyle w:val="Body"/>
        <w:spacing w:after="100"/>
        <w:jc w:val="both"/>
        <w:rPr>
          <w:sz w:val="24"/>
          <w:szCs w:val="24"/>
        </w:rPr>
      </w:pPr>
      <w:proofErr w:type="gramStart"/>
      <w:r>
        <w:rPr>
          <w:sz w:val="24"/>
          <w:szCs w:val="24"/>
        </w:rPr>
        <w:t>120</w:t>
      </w:r>
      <w:proofErr w:type="gramEnd"/>
      <w:r>
        <w:rPr>
          <w:sz w:val="24"/>
          <w:szCs w:val="24"/>
        </w:rPr>
        <w:t xml:space="preserve"> farmers (x women and x men), who are members of five pr</w:t>
      </w:r>
      <w:r>
        <w:rPr>
          <w:sz w:val="24"/>
          <w:szCs w:val="24"/>
        </w:rPr>
        <w:t xml:space="preserve">oducer organizations, participated in the survey (see Table 2), which was implemented in September 2014. The distribution of participants’ ages, and gender according to age, </w:t>
      </w:r>
      <w:proofErr w:type="gramStart"/>
      <w:r>
        <w:rPr>
          <w:sz w:val="24"/>
          <w:szCs w:val="24"/>
        </w:rPr>
        <w:t>is shown</w:t>
      </w:r>
      <w:proofErr w:type="gramEnd"/>
      <w:r>
        <w:rPr>
          <w:sz w:val="24"/>
          <w:szCs w:val="24"/>
        </w:rPr>
        <w:t xml:space="preserve"> in Chart 1.</w:t>
      </w:r>
      <w:r>
        <w:rPr>
          <w:noProof/>
          <w:sz w:val="24"/>
          <w:szCs w:val="24"/>
          <w:lang w:val="de-DE"/>
        </w:rPr>
        <mc:AlternateContent>
          <mc:Choice Requires="wpg">
            <w:drawing>
              <wp:anchor distT="0" distB="0" distL="0" distR="0" simplePos="0" relativeHeight="251659264" behindDoc="0" locked="0" layoutInCell="1" allowOverlap="1">
                <wp:simplePos x="0" y="0"/>
                <wp:positionH relativeFrom="margin">
                  <wp:posOffset>104594</wp:posOffset>
                </wp:positionH>
                <wp:positionV relativeFrom="line">
                  <wp:posOffset>409257</wp:posOffset>
                </wp:positionV>
                <wp:extent cx="5867136" cy="1120800"/>
                <wp:effectExtent l="0" t="0" r="0" b="0"/>
                <wp:wrapTopAndBottom distT="0" distB="0"/>
                <wp:docPr id="1073741829" name="officeArt object"/>
                <wp:cNvGraphicFramePr/>
                <a:graphic xmlns:a="http://schemas.openxmlformats.org/drawingml/2006/main">
                  <a:graphicData uri="http://schemas.microsoft.com/office/word/2010/wordprocessingGroup">
                    <wpg:wgp>
                      <wpg:cNvGrpSpPr/>
                      <wpg:grpSpPr>
                        <a:xfrm>
                          <a:off x="0" y="0"/>
                          <a:ext cx="5867136" cy="1120800"/>
                          <a:chOff x="-37806" y="-129116"/>
                          <a:chExt cx="5867135" cy="1120799"/>
                        </a:xfrm>
                      </wpg:grpSpPr>
                      <wpg:graphicFrame>
                        <wpg:cNvPr id="1073741825" name="Chart 1073741825"/>
                        <wpg:cNvFrPr/>
                        <wpg:xfrm>
                          <a:off x="-37807" y="-129117"/>
                          <a:ext cx="5867137" cy="801983"/>
                        </wpg:xfrm>
                        <a:graphic>
                          <a:graphicData uri="http://schemas.openxmlformats.org/drawingml/2006/chart">
                            <c:chart xmlns:c="http://schemas.openxmlformats.org/drawingml/2006/chart" xmlns:r="http://schemas.openxmlformats.org/officeDocument/2006/relationships" r:id="rId8"/>
                          </a:graphicData>
                        </a:graphic>
                      </wpg:graphicFrame>
                      <wps:wsp>
                        <wps:cNvPr id="1073741828" name="Shape 1073741828"/>
                        <wps:cNvSpPr/>
                        <wps:spPr>
                          <a:xfrm>
                            <a:off x="0" y="727961"/>
                            <a:ext cx="5734412" cy="263722"/>
                          </a:xfrm>
                          <a:prstGeom prst="rect">
                            <a:avLst/>
                          </a:prstGeom>
                          <a:noFill/>
                          <a:ln w="12700" cap="flat">
                            <a:noFill/>
                            <a:miter lim="400000"/>
                          </a:ln>
                          <a:effectLst/>
                        </wps:spPr>
                        <wps:txbx>
                          <w:txbxContent>
                            <w:p w:rsidR="003027AD" w:rsidRDefault="000E279B">
                              <w:pPr>
                                <w:pStyle w:val="BodyA"/>
                              </w:pPr>
                              <w:r>
                                <w:rPr>
                                  <w:b/>
                                  <w:bCs/>
                                  <w:sz w:val="20"/>
                                  <w:szCs w:val="20"/>
                                </w:rPr>
                                <w:t>Chart 1.</w:t>
                              </w:r>
                              <w:r>
                                <w:rPr>
                                  <w:sz w:val="20"/>
                                  <w:szCs w:val="20"/>
                                </w:rPr>
                                <w:t xml:space="preserve"> The age </w:t>
                              </w:r>
                              <w:proofErr w:type="gramStart"/>
                              <w:r>
                                <w:rPr>
                                  <w:sz w:val="20"/>
                                  <w:szCs w:val="20"/>
                                </w:rPr>
                                <w:t>distribution,</w:t>
                              </w:r>
                              <w:proofErr w:type="gramEnd"/>
                              <w:r>
                                <w:rPr>
                                  <w:sz w:val="20"/>
                                  <w:szCs w:val="20"/>
                                </w:rPr>
                                <w:t xml:space="preserve"> and the gender distribution </w:t>
                              </w:r>
                              <w:r>
                                <w:rPr>
                                  <w:sz w:val="20"/>
                                  <w:szCs w:val="20"/>
                                </w:rPr>
                                <w:t>according age.</w:t>
                              </w:r>
                            </w:p>
                          </w:txbxContent>
                        </wps:txbx>
                        <wps:bodyPr wrap="square" lIns="50800" tIns="50800" rIns="50800" bIns="50800" numCol="1" anchor="t">
                          <a:noAutofit/>
                        </wps:bodyPr>
                      </wps:wsp>
                    </wpg:wgp>
                  </a:graphicData>
                </a:graphic>
              </wp:anchor>
            </w:drawing>
          </mc:Choice>
          <mc:Fallback>
            <w:pict>
              <v:group id="_x0000_s1026" style="visibility:visible;position:absolute;margin-left:8.2pt;margin-top:32.2pt;width:462.0pt;height:88.3pt;z-index:251659264;mso-position-horizontal:absolute;mso-position-horizontal-relative:margin;mso-position-vertical:absolute;mso-position-vertical-relative:line;mso-wrap-distance-left:0.0pt;mso-wrap-distance-top:0.0pt;mso-wrap-distance-right:0.0pt;mso-wrap-distance-bottom:0.0pt;" coordorigin="-37806,-129117" coordsize="5867135,1120800">
                <w10:wrap type="topAndBottom" side="bothSides" anchorx="margin"/>
                <v:shape id="_x0000_s1027" type="#_x0000_t75" style="position:absolute;left:-37806;top:-129117;width:5867135;height:801982;">
                  <v:imagedata r:id="rId9" o:title=""/>
                </v:shape>
                <v:rect id="_x0000_s1028" style="position:absolute;left:0;top:727961;width:5734412;height:263721;">
                  <v:fill on="f"/>
                  <v:stroke on="f" weight="1.0pt" dashstyle="solid" endcap="flat" miterlimit="400.0%" joinstyle="miter" linestyle="single" startarrow="none" startarrowwidth="medium" startarrowlength="medium" endarrow="none" endarrowwidth="medium" endarrowlength="medium"/>
                  <v:textbox>
                    <w:txbxContent>
                      <w:p>
                        <w:pPr>
                          <w:pStyle w:val="Body A"/>
                        </w:pPr>
                        <w:r>
                          <w:rPr>
                            <w:b w:val="1"/>
                            <w:bCs w:val="1"/>
                            <w:sz w:val="20"/>
                            <w:szCs w:val="20"/>
                            <w:rtl w:val="0"/>
                            <w:lang w:val="en-US"/>
                          </w:rPr>
                          <w:t>Chart 1.</w:t>
                        </w:r>
                        <w:r>
                          <w:rPr>
                            <w:sz w:val="20"/>
                            <w:szCs w:val="20"/>
                            <w:rtl w:val="0"/>
                            <w:lang w:val="en-US"/>
                          </w:rPr>
                          <w:t xml:space="preserve"> The age distribution, and the gender distribution according age.</w:t>
                        </w:r>
                      </w:p>
                    </w:txbxContent>
                  </v:textbox>
                </v:rect>
              </v:group>
              <o:OLEObject Type="Embed" ProgID="MSGraph.Chart.8" ShapeID="_x0000_s1027" DrawAspect="Content" ObjectID="_1141059230" r:id="rId10">
                <o:FieldCodes>\s</o:FieldCodes>
              </o:OLEObject>
            </w:pict>
          </mc:Fallback>
        </mc:AlternateContent>
      </w:r>
    </w:p>
    <w:p w:rsidR="003027AD" w:rsidRDefault="000E279B">
      <w:pPr>
        <w:pStyle w:val="Body"/>
        <w:spacing w:after="100"/>
        <w:jc w:val="both"/>
        <w:rPr>
          <w:sz w:val="24"/>
          <w:szCs w:val="24"/>
        </w:rPr>
      </w:pPr>
      <w:r>
        <w:rPr>
          <w:sz w:val="24"/>
          <w:szCs w:val="24"/>
        </w:rPr>
        <w:t xml:space="preserve"> </w:t>
      </w:r>
    </w:p>
    <w:p w:rsidR="003027AD" w:rsidRDefault="003027AD">
      <w:pPr>
        <w:pStyle w:val="Body"/>
        <w:spacing w:after="100"/>
        <w:jc w:val="both"/>
        <w:rPr>
          <w:sz w:val="24"/>
          <w:szCs w:val="24"/>
        </w:rPr>
      </w:pPr>
    </w:p>
    <w:p w:rsidR="003027AD" w:rsidRDefault="000E279B">
      <w:pPr>
        <w:pStyle w:val="Body"/>
        <w:spacing w:after="100"/>
        <w:rPr>
          <w:i/>
          <w:iCs/>
          <w:sz w:val="24"/>
          <w:szCs w:val="24"/>
        </w:rPr>
      </w:pPr>
      <w:r>
        <w:rPr>
          <w:i/>
          <w:iCs/>
          <w:sz w:val="24"/>
          <w:szCs w:val="24"/>
        </w:rPr>
        <w:t>Key stakeholder interviews</w:t>
      </w:r>
    </w:p>
    <w:p w:rsidR="003027AD" w:rsidRDefault="000E279B">
      <w:pPr>
        <w:pStyle w:val="Body"/>
        <w:spacing w:after="100"/>
        <w:jc w:val="both"/>
        <w:rPr>
          <w:sz w:val="24"/>
          <w:szCs w:val="24"/>
        </w:rPr>
      </w:pPr>
      <w:r>
        <w:rPr>
          <w:sz w:val="24"/>
          <w:szCs w:val="24"/>
        </w:rPr>
        <w:t xml:space="preserve">Semi-structured interviews </w:t>
      </w:r>
      <w:proofErr w:type="gramStart"/>
      <w:r>
        <w:rPr>
          <w:sz w:val="24"/>
          <w:szCs w:val="24"/>
        </w:rPr>
        <w:t>were held</w:t>
      </w:r>
      <w:proofErr w:type="gramEnd"/>
      <w:r>
        <w:rPr>
          <w:sz w:val="24"/>
          <w:szCs w:val="24"/>
        </w:rPr>
        <w:t xml:space="preserve"> with 13 key informants from 12 institutes (see Table 2). The interview questions </w:t>
      </w:r>
      <w:proofErr w:type="gramStart"/>
      <w:r>
        <w:rPr>
          <w:sz w:val="24"/>
          <w:szCs w:val="24"/>
        </w:rPr>
        <w:t>were based</w:t>
      </w:r>
      <w:proofErr w:type="gramEnd"/>
      <w:r>
        <w:rPr>
          <w:sz w:val="24"/>
          <w:szCs w:val="24"/>
        </w:rPr>
        <w:t xml:space="preserve"> on PROMIS methodology (</w:t>
      </w:r>
      <w:proofErr w:type="spellStart"/>
      <w:r>
        <w:rPr>
          <w:sz w:val="24"/>
          <w:szCs w:val="24"/>
        </w:rPr>
        <w:t>Wigboldus</w:t>
      </w:r>
      <w:proofErr w:type="spellEnd"/>
      <w:r>
        <w:rPr>
          <w:sz w:val="24"/>
          <w:szCs w:val="24"/>
        </w:rPr>
        <w:t xml:space="preserve"> et al, forthcoming). </w:t>
      </w:r>
      <w:proofErr w:type="gramStart"/>
      <w:r>
        <w:rPr>
          <w:sz w:val="24"/>
          <w:szCs w:val="24"/>
        </w:rPr>
        <w:t xml:space="preserve">The goal was to understand </w:t>
      </w:r>
      <w:r>
        <w:rPr>
          <w:sz w:val="24"/>
          <w:szCs w:val="24"/>
        </w:rPr>
        <w:t>different stakeholders’ motivations for supporting agroecological agriculture; changes in institutional practices concerning the transition towards agroecological agriculture; what practices exactly were scaling; difficulties of the transition to agroecolo</w:t>
      </w:r>
      <w:r>
        <w:rPr>
          <w:sz w:val="24"/>
          <w:szCs w:val="24"/>
        </w:rPr>
        <w:t>gical agriculture faced by and between different system institutions and levels; what strategies their institution used in the scaling up of agroecology; how the scaling process occurred/happened; and what (if any) unexpected side effects occurred due to t</w:t>
      </w:r>
      <w:r>
        <w:rPr>
          <w:sz w:val="24"/>
          <w:szCs w:val="24"/>
        </w:rPr>
        <w:t>he scaling up of agroecology.</w:t>
      </w:r>
      <w:proofErr w:type="gramEnd"/>
      <w:r>
        <w:rPr>
          <w:sz w:val="24"/>
          <w:szCs w:val="24"/>
        </w:rPr>
        <w:t xml:space="preserve"> </w:t>
      </w:r>
    </w:p>
    <w:p w:rsidR="003027AD" w:rsidRDefault="003027AD">
      <w:pPr>
        <w:pStyle w:val="Body"/>
        <w:spacing w:after="100"/>
        <w:rPr>
          <w:i/>
          <w:iCs/>
          <w:sz w:val="24"/>
          <w:szCs w:val="24"/>
        </w:rPr>
      </w:pPr>
    </w:p>
    <w:p w:rsidR="003027AD" w:rsidRDefault="003027AD">
      <w:pPr>
        <w:pStyle w:val="Body"/>
        <w:spacing w:after="100"/>
        <w:rPr>
          <w:b/>
          <w:bCs/>
          <w:i/>
          <w:iCs/>
          <w:sz w:val="24"/>
          <w:szCs w:val="24"/>
        </w:rPr>
      </w:pPr>
    </w:p>
    <w:p w:rsidR="003027AD" w:rsidRDefault="003027AD">
      <w:pPr>
        <w:pStyle w:val="Body"/>
        <w:spacing w:after="100"/>
        <w:rPr>
          <w:b/>
          <w:bCs/>
          <w:i/>
          <w:iCs/>
          <w:sz w:val="24"/>
          <w:szCs w:val="24"/>
        </w:rPr>
      </w:pPr>
    </w:p>
    <w:p w:rsidR="003027AD" w:rsidRDefault="000E279B">
      <w:pPr>
        <w:pStyle w:val="Body"/>
        <w:spacing w:after="100"/>
        <w:rPr>
          <w:b/>
          <w:bCs/>
          <w:i/>
          <w:iCs/>
          <w:sz w:val="24"/>
          <w:szCs w:val="24"/>
        </w:rPr>
      </w:pPr>
      <w:r>
        <w:rPr>
          <w:b/>
          <w:bCs/>
          <w:i/>
          <w:iCs/>
          <w:sz w:val="24"/>
          <w:szCs w:val="24"/>
        </w:rPr>
        <w:t>Project results</w:t>
      </w:r>
    </w:p>
    <w:p w:rsidR="003027AD" w:rsidRDefault="003027AD">
      <w:pPr>
        <w:pStyle w:val="Body"/>
        <w:spacing w:after="100"/>
        <w:rPr>
          <w:i/>
          <w:iCs/>
          <w:sz w:val="24"/>
          <w:szCs w:val="24"/>
        </w:rPr>
      </w:pPr>
    </w:p>
    <w:p w:rsidR="003027AD" w:rsidRDefault="000E279B">
      <w:pPr>
        <w:pStyle w:val="Body"/>
        <w:spacing w:after="100"/>
        <w:rPr>
          <w:i/>
          <w:iCs/>
          <w:sz w:val="24"/>
          <w:szCs w:val="24"/>
        </w:rPr>
      </w:pPr>
      <w:r>
        <w:rPr>
          <w:i/>
          <w:iCs/>
          <w:sz w:val="24"/>
          <w:szCs w:val="24"/>
        </w:rPr>
        <w:t>Agroecological practices used by farmers in the ‘mixed grains’ territory</w:t>
      </w:r>
    </w:p>
    <w:p w:rsidR="003027AD" w:rsidRDefault="000E279B">
      <w:pPr>
        <w:pStyle w:val="Body"/>
        <w:spacing w:after="100"/>
        <w:jc w:val="both"/>
        <w:rPr>
          <w:sz w:val="24"/>
          <w:szCs w:val="24"/>
        </w:rPr>
      </w:pPr>
      <w:r>
        <w:rPr>
          <w:sz w:val="24"/>
          <w:szCs w:val="24"/>
        </w:rPr>
        <w:t>Table x shows the average frequency of use of agroecological practices by survey respondents. Agroecological practices are clustered</w:t>
      </w:r>
      <w:r>
        <w:rPr>
          <w:sz w:val="24"/>
          <w:szCs w:val="24"/>
        </w:rPr>
        <w:t xml:space="preserve"> based on scientific principles of agroecology </w:t>
      </w:r>
      <w:r w:rsidR="00DC1C2B">
        <w:rPr>
          <w:sz w:val="24"/>
          <w:szCs w:val="24"/>
        </w:rPr>
        <w:fldChar w:fldCharType="begin" w:fldLock="1"/>
      </w:r>
      <w:r>
        <w:rPr>
          <w:sz w:val="24"/>
          <w:szCs w:val="24"/>
        </w:rPr>
        <w:instrText>ADDIN CSL_CITATION {"citationItems":[{"id":"ITEM-1","itemData":{"DOI":"10.1007/978-94-007-5449-2","ISBN":"978-94-007-5448-5","ISSN":"1011-6370, 1461-7072","abstract":"Due to increasing compost use in agriculture, there is an urgent need to evaluate compost bene fi ts and impacts versus other fertilizers. Here we review the recent progress made in the quanti fi cation of positive effects associated with compost use on land using life cycle assessment (LCA), an internationally recognised environmental tool. Nine environmental bene fi ts were identi fi ed in an extensive literature review: nutrient supply, carbon sequestration, weed pest and disease suppression, increase in crop yield, decreased soil erosion, retention of soil moisture, increased soil workability, enhanced soil biological properties and biodiversity, and gain in crop nutritional quality. Quantitative fi gures for each bene fi t were drawn from the literature and classi fi ed into short-term: less than 1 year; mid-term: less than 10 years and long-term: less than 100 years.","author":[{"dropping-particle":"","family":"Altieri","given":"Miguel A.","non-dropping-particle":"","parse-names":false,"suffix":""},{"dropping-particle":"","family":"Nicholls","given":"Clara I.","non-dropping-particle":"","parse-names":false,"suffix":""}],"collection-title":"Sustainable Agriculture Reviews","container-title":"Sustainable Agriculture Reviews","editor":[{"dropping-particle":"","family":"Lichtfouse","given":"Eric","non-dropping-particle":"","parse-names":false,"suffix":""}],"id":"ITEM-1","issued":{"date-parts":[["2012"]]},"number-of-pages":"1-29","publisher":"Springer Netherlands","publisher-place":"Dordrecht","title":"Agroecology scaling up for food sovereignty and resiliency","type":"book","volume":"11"},"uris":["http://www.mendeley.com/documents/?uuid=9dacf5f9-8b84-42d5-b257-5665994965eb"]}],"mendeley":{"formattedCitation":"(Altieri and Nicholls 2012)","plainTextFormattedCitation":"(Altieri and Nicholls 2012)","previouslyFormattedCitation":"(Altieri and Nicholls 2012)"},"properties":{"noteIndex":0},"schema":"https://github.com/citation-style-language/schema/raw/master/csl-citation.json"}</w:instrText>
      </w:r>
      <w:r w:rsidR="00DC1C2B">
        <w:rPr>
          <w:sz w:val="24"/>
          <w:szCs w:val="24"/>
        </w:rPr>
        <w:fldChar w:fldCharType="separate"/>
      </w:r>
      <w:r w:rsidR="00DC1C2B" w:rsidRPr="00DC1C2B">
        <w:rPr>
          <w:noProof/>
          <w:sz w:val="24"/>
          <w:szCs w:val="24"/>
        </w:rPr>
        <w:t>(Altieri and Nicholls 2012)</w:t>
      </w:r>
      <w:r w:rsidR="00DC1C2B">
        <w:rPr>
          <w:sz w:val="24"/>
          <w:szCs w:val="24"/>
        </w:rPr>
        <w:fldChar w:fldCharType="end"/>
      </w:r>
      <w:r>
        <w:rPr>
          <w:sz w:val="24"/>
          <w:szCs w:val="24"/>
        </w:rPr>
        <w:t>.</w:t>
      </w:r>
      <w:r>
        <w:rPr>
          <w:sz w:val="24"/>
          <w:szCs w:val="24"/>
        </w:rPr>
        <w:t xml:space="preserve"> The cluster of practices around </w:t>
      </w:r>
      <w:proofErr w:type="gramStart"/>
      <w:r>
        <w:rPr>
          <w:sz w:val="24"/>
          <w:szCs w:val="24"/>
        </w:rPr>
        <w:t>enhancing  biodiversity</w:t>
      </w:r>
      <w:proofErr w:type="gramEnd"/>
      <w:r>
        <w:rPr>
          <w:sz w:val="24"/>
          <w:szCs w:val="24"/>
        </w:rPr>
        <w:t xml:space="preserve"> is practiced more frequently than the other clusters; the cluster related to enhancing biological activity and interactions ha</w:t>
      </w:r>
      <w:r>
        <w:rPr>
          <w:sz w:val="24"/>
          <w:szCs w:val="24"/>
        </w:rPr>
        <w:t>s the lowest frequency. The three remaining clusters on biological pest and disease control, saving on-farm water, and recycling on-farm biomass/saving nutrients, all fell between ‘sometimes (3)’</w:t>
      </w:r>
      <w:r>
        <w:rPr>
          <w:rFonts w:ascii="Arial Unicode MS" w:hAnsi="Arial Unicode MS"/>
          <w:sz w:val="24"/>
          <w:szCs w:val="24"/>
        </w:rPr>
        <w:t xml:space="preserve"> </w:t>
      </w:r>
      <w:r>
        <w:rPr>
          <w:sz w:val="24"/>
          <w:szCs w:val="24"/>
        </w:rPr>
        <w:t>and ‘a lot (4)’</w:t>
      </w:r>
      <w:r>
        <w:rPr>
          <w:rFonts w:ascii="Arial Unicode MS" w:hAnsi="Arial Unicode MS"/>
          <w:sz w:val="24"/>
          <w:szCs w:val="24"/>
        </w:rPr>
        <w:t xml:space="preserve"> </w:t>
      </w:r>
      <w:r>
        <w:rPr>
          <w:sz w:val="24"/>
          <w:szCs w:val="24"/>
        </w:rPr>
        <w:t>in terms of frequency practiced. Agroecologi</w:t>
      </w:r>
      <w:r>
        <w:rPr>
          <w:sz w:val="24"/>
          <w:szCs w:val="24"/>
        </w:rPr>
        <w:t>cal practices as a whole also rated between ‘sometimes (3)</w:t>
      </w:r>
      <w:r>
        <w:rPr>
          <w:sz w:val="24"/>
          <w:szCs w:val="24"/>
          <w:lang w:val="fr-FR"/>
        </w:rPr>
        <w:t>’</w:t>
      </w:r>
      <w:r>
        <w:rPr>
          <w:rFonts w:ascii="Arial Unicode MS" w:hAnsi="Arial Unicode MS"/>
          <w:sz w:val="24"/>
          <w:szCs w:val="24"/>
          <w:lang w:val="fr-FR"/>
        </w:rPr>
        <w:t xml:space="preserve"> </w:t>
      </w:r>
      <w:r>
        <w:rPr>
          <w:sz w:val="24"/>
          <w:szCs w:val="24"/>
        </w:rPr>
        <w:t>and ‘a lot (4)</w:t>
      </w:r>
      <w:r>
        <w:rPr>
          <w:sz w:val="24"/>
          <w:szCs w:val="24"/>
          <w:lang w:val="fr-FR"/>
        </w:rPr>
        <w:t>’</w:t>
      </w:r>
      <w:r>
        <w:rPr>
          <w:sz w:val="24"/>
          <w:szCs w:val="24"/>
        </w:rPr>
        <w:t xml:space="preserve"> in terms of frequency practiced, indicating a relatively high rate of practicing agroecological practices within the sample group, based on this specific list of practices. </w:t>
      </w:r>
    </w:p>
    <w:p w:rsidR="003027AD" w:rsidRDefault="000E279B">
      <w:pPr>
        <w:pStyle w:val="Body"/>
        <w:spacing w:after="100"/>
        <w:rPr>
          <w:i/>
          <w:iCs/>
          <w:sz w:val="24"/>
          <w:szCs w:val="24"/>
        </w:rPr>
      </w:pPr>
      <w:r>
        <w:rPr>
          <w:i/>
          <w:iCs/>
          <w:noProof/>
          <w:sz w:val="24"/>
          <w:szCs w:val="24"/>
          <w:lang w:val="de-DE"/>
        </w:rPr>
        <mc:AlternateContent>
          <mc:Choice Requires="wpg">
            <w:drawing>
              <wp:anchor distT="152400" distB="152400" distL="152400" distR="152400" simplePos="0" relativeHeight="251661312" behindDoc="0" locked="0" layoutInCell="1" allowOverlap="1">
                <wp:simplePos x="0" y="0"/>
                <wp:positionH relativeFrom="margin">
                  <wp:posOffset>-132080</wp:posOffset>
                </wp:positionH>
                <wp:positionV relativeFrom="line">
                  <wp:posOffset>302260</wp:posOffset>
                </wp:positionV>
                <wp:extent cx="5943600" cy="3960297"/>
                <wp:effectExtent l="0" t="0" r="0" b="0"/>
                <wp:wrapTopAndBottom distT="152400" distB="152400"/>
                <wp:docPr id="1073741840" name="officeArt object"/>
                <wp:cNvGraphicFramePr/>
                <a:graphic xmlns:a="http://schemas.openxmlformats.org/drawingml/2006/main">
                  <a:graphicData uri="http://schemas.microsoft.com/office/word/2010/wordprocessingGroup">
                    <wpg:wgp>
                      <wpg:cNvGrpSpPr/>
                      <wpg:grpSpPr>
                        <a:xfrm>
                          <a:off x="0" y="0"/>
                          <a:ext cx="5943600" cy="3960297"/>
                          <a:chOff x="0" y="0"/>
                          <a:chExt cx="5943599" cy="3960296"/>
                        </a:xfrm>
                      </wpg:grpSpPr>
                      <wpg:grpSp>
                        <wpg:cNvPr id="1073741834" name="Group 1073741834"/>
                        <wpg:cNvGrpSpPr/>
                        <wpg:grpSpPr>
                          <a:xfrm>
                            <a:off x="0" y="-1"/>
                            <a:ext cx="5943599" cy="1853244"/>
                            <a:chOff x="0" y="0"/>
                            <a:chExt cx="5943598" cy="1853242"/>
                          </a:xfrm>
                        </wpg:grpSpPr>
                        <wpg:graphicFrame>
                          <wpg:cNvPr id="1073741830" name="Chart 1073741830"/>
                          <wpg:cNvFrPr/>
                          <wpg:xfrm>
                            <a:off x="142216" y="0"/>
                            <a:ext cx="5699696" cy="1124835"/>
                          </wpg:xfrm>
                          <a:graphic>
                            <a:graphicData uri="http://schemas.openxmlformats.org/drawingml/2006/chart">
                              <c:chart xmlns:c="http://schemas.openxmlformats.org/drawingml/2006/chart" xmlns:r="http://schemas.openxmlformats.org/officeDocument/2006/relationships" r:id="rId11"/>
                            </a:graphicData>
                          </a:graphic>
                        </wpg:graphicFrame>
                        <wps:wsp>
                          <wps:cNvPr id="1073741833" name="Shape 1073741833"/>
                          <wps:cNvSpPr/>
                          <wps:spPr>
                            <a:xfrm>
                              <a:off x="0" y="1322118"/>
                              <a:ext cx="5943599" cy="531125"/>
                            </a:xfrm>
                            <a:prstGeom prst="rect">
                              <a:avLst/>
                            </a:prstGeom>
                            <a:noFill/>
                            <a:ln w="12700" cap="flat">
                              <a:noFill/>
                              <a:miter lim="400000"/>
                            </a:ln>
                            <a:effectLst/>
                          </wps:spPr>
                          <wps:txbx>
                            <w:txbxContent>
                              <w:p w:rsidR="003027AD" w:rsidRDefault="000E279B">
                                <w:pPr>
                                  <w:pStyle w:val="BodyB"/>
                                  <w:jc w:val="both"/>
                                </w:pPr>
                                <w:r>
                                  <w:rPr>
                                    <w:b/>
                                    <w:bCs/>
                                    <w:sz w:val="20"/>
                                    <w:szCs w:val="20"/>
                                  </w:rPr>
                                  <w:t xml:space="preserve">Chart 4. </w:t>
                                </w:r>
                                <w:r>
                                  <w:rPr>
                                    <w:sz w:val="20"/>
                                    <w:szCs w:val="20"/>
                                  </w:rPr>
                                  <w:t xml:space="preserve">The average frequency of which all the agroecological practices are being practiced, </w:t>
                                </w:r>
                                <w:proofErr w:type="gramStart"/>
                                <w:r>
                                  <w:rPr>
                                    <w:sz w:val="20"/>
                                    <w:szCs w:val="20"/>
                                  </w:rPr>
                                  <w:t>and also</w:t>
                                </w:r>
                                <w:proofErr w:type="gramEnd"/>
                                <w:r>
                                  <w:rPr>
                                    <w:sz w:val="20"/>
                                    <w:szCs w:val="20"/>
                                  </w:rPr>
                                  <w:t xml:space="preserve"> the frequencies of the clusters identified in Table 2. The frequency is based on the 5-point Likert Scale, where </w:t>
                                </w:r>
                                <w:proofErr w:type="gramStart"/>
                                <w:r>
                                  <w:rPr>
                                    <w:sz w:val="20"/>
                                    <w:szCs w:val="20"/>
                                  </w:rPr>
                                  <w:t>1</w:t>
                                </w:r>
                                <w:proofErr w:type="gramEnd"/>
                                <w:r>
                                  <w:rPr>
                                    <w:sz w:val="20"/>
                                    <w:szCs w:val="20"/>
                                  </w:rPr>
                                  <w:t xml:space="preserve"> is Never and 5 is Always, when asked i</w:t>
                                </w:r>
                                <w:r>
                                  <w:rPr>
                                    <w:sz w:val="20"/>
                                    <w:szCs w:val="20"/>
                                  </w:rPr>
                                  <w:t>f they practiced the practices defined in the same table.</w:t>
                                </w:r>
                              </w:p>
                            </w:txbxContent>
                          </wps:txbx>
                          <wps:bodyPr wrap="square" lIns="50800" tIns="50800" rIns="50800" bIns="50800" numCol="1" anchor="t">
                            <a:noAutofit/>
                          </wps:bodyPr>
                        </wps:wsp>
                      </wpg:grpSp>
                      <wpg:grpSp>
                        <wpg:cNvPr id="1073741839" name="Group 1073741839"/>
                        <wpg:cNvGrpSpPr/>
                        <wpg:grpSpPr>
                          <a:xfrm>
                            <a:off x="1" y="2074129"/>
                            <a:ext cx="5943599" cy="1886168"/>
                            <a:chOff x="0" y="0"/>
                            <a:chExt cx="5943598" cy="1886166"/>
                          </a:xfrm>
                        </wpg:grpSpPr>
                        <wpg:graphicFrame>
                          <wpg:cNvPr id="1073741835" name="Chart 1073741835"/>
                          <wpg:cNvFrPr/>
                          <wpg:xfrm>
                            <a:off x="1752001" y="0"/>
                            <a:ext cx="4108354" cy="1129731"/>
                          </wpg:xfrm>
                          <a:graphic>
                            <a:graphicData uri="http://schemas.openxmlformats.org/drawingml/2006/chart">
                              <c:chart xmlns:c="http://schemas.openxmlformats.org/drawingml/2006/chart" xmlns:r="http://schemas.openxmlformats.org/officeDocument/2006/relationships" r:id="rId12"/>
                            </a:graphicData>
                          </a:graphic>
                        </wpg:graphicFrame>
                        <wps:wsp>
                          <wps:cNvPr id="1073741838" name="Shape 1073741838"/>
                          <wps:cNvSpPr/>
                          <wps:spPr>
                            <a:xfrm>
                              <a:off x="0" y="1355041"/>
                              <a:ext cx="5943599" cy="531126"/>
                            </a:xfrm>
                            <a:prstGeom prst="rect">
                              <a:avLst/>
                            </a:prstGeom>
                            <a:noFill/>
                            <a:ln w="12700" cap="flat">
                              <a:noFill/>
                              <a:miter lim="400000"/>
                            </a:ln>
                            <a:effectLst/>
                          </wps:spPr>
                          <wps:txbx>
                            <w:txbxContent>
                              <w:p w:rsidR="003027AD" w:rsidRDefault="000E279B">
                                <w:pPr>
                                  <w:pStyle w:val="BodyB"/>
                                  <w:jc w:val="both"/>
                                </w:pPr>
                                <w:r>
                                  <w:rPr>
                                    <w:b/>
                                    <w:bCs/>
                                    <w:sz w:val="20"/>
                                    <w:szCs w:val="20"/>
                                  </w:rPr>
                                  <w:t xml:space="preserve">Chart 5. </w:t>
                                </w:r>
                                <w:r>
                                  <w:rPr>
                                    <w:sz w:val="20"/>
                                    <w:szCs w:val="20"/>
                                  </w:rPr>
                                  <w:t xml:space="preserve">The average </w:t>
                                </w:r>
                                <w:proofErr w:type="gramStart"/>
                                <w:r>
                                  <w:rPr>
                                    <w:sz w:val="20"/>
                                    <w:szCs w:val="20"/>
                                  </w:rPr>
                                  <w:t>frequency</w:t>
                                </w:r>
                                <w:proofErr w:type="gramEnd"/>
                                <w:r>
                                  <w:rPr>
                                    <w:sz w:val="20"/>
                                    <w:szCs w:val="20"/>
                                  </w:rPr>
                                  <w:t xml:space="preserve"> of which all the agroecological practices are being practiced, based per producer </w:t>
                                </w:r>
                                <w:proofErr w:type="spellStart"/>
                                <w:r>
                                  <w:rPr>
                                    <w:sz w:val="20"/>
                                    <w:szCs w:val="20"/>
                                  </w:rPr>
                                  <w:t>organisation</w:t>
                                </w:r>
                                <w:proofErr w:type="spellEnd"/>
                                <w:r>
                                  <w:rPr>
                                    <w:sz w:val="20"/>
                                    <w:szCs w:val="20"/>
                                  </w:rPr>
                                  <w:t xml:space="preserve">. The frequency is based on the 5-point Likert Scale, where </w:t>
                                </w:r>
                                <w:proofErr w:type="gramStart"/>
                                <w:r>
                                  <w:rPr>
                                    <w:sz w:val="20"/>
                                    <w:szCs w:val="20"/>
                                  </w:rPr>
                                  <w:t>1</w:t>
                                </w:r>
                                <w:proofErr w:type="gramEnd"/>
                                <w:r>
                                  <w:rPr>
                                    <w:sz w:val="20"/>
                                    <w:szCs w:val="20"/>
                                  </w:rPr>
                                  <w:t xml:space="preserve"> is Never </w:t>
                                </w:r>
                                <w:r>
                                  <w:rPr>
                                    <w:sz w:val="20"/>
                                    <w:szCs w:val="20"/>
                                  </w:rPr>
                                  <w:t>and 5 is Always, when asked if they practiced the practices defined in the same table.</w:t>
                                </w:r>
                              </w:p>
                            </w:txbxContent>
                          </wps:txbx>
                          <wps:bodyPr wrap="square" lIns="50800" tIns="50800" rIns="50800" bIns="50800" numCol="1" anchor="t">
                            <a:noAutofit/>
                          </wps:bodyPr>
                        </wps:wsp>
                      </wpg:grpSp>
                    </wpg:wgp>
                  </a:graphicData>
                </a:graphic>
              </wp:anchor>
            </w:drawing>
          </mc:Choice>
          <mc:Fallback>
            <w:pict>
              <v:group id="_x0000_s1029" style="visibility:visible;position:absolute;margin-left:-10.4pt;margin-top:23.8pt;width:468.0pt;height:311.8pt;z-index:251661312;mso-position-horizontal:absolute;mso-position-horizontal-relative:margin;mso-position-vertical:absolute;mso-position-vertical-relative:line;mso-wrap-distance-left:12.0pt;mso-wrap-distance-top:12.0pt;mso-wrap-distance-right:12.0pt;mso-wrap-distance-bottom:12.0pt;" coordorigin="0,0" coordsize="5943600,3960297">
                <w10:wrap type="topAndBottom" side="bothSides" anchorx="margin"/>
                <v:group id="_x0000_s1030" style="position:absolute;left:0;top:0;width:5943598;height:1853243;" coordorigin="0,0" coordsize="5943599,1853243">
                  <v:shape id="_x0000_s1031" type="#_x0000_t75" style="position:absolute;left:142217;top:0;width:5699695;height:1124835;">
                    <v:imagedata r:id="rId13" o:title=""/>
                  </v:shape>
                  <v:rect id="_x0000_s1032" style="position:absolute;left:0;top:1322118;width:5943599;height:531125;">
                    <v:fill on="f"/>
                    <v:stroke on="f" weight="1.0pt" dashstyle="solid" endcap="flat" miterlimit="400.0%" joinstyle="miter" linestyle="single" startarrow="none" startarrowwidth="medium" startarrowlength="medium" endarrow="none" endarrowwidth="medium" endarrowlength="medium"/>
                    <v:textbox>
                      <w:txbxContent>
                        <w:p>
                          <w:pPr>
                            <w:pStyle w:val="Body B"/>
                            <w:jc w:val="both"/>
                          </w:pPr>
                          <w:r>
                            <w:rPr>
                              <w:b w:val="1"/>
                              <w:bCs w:val="1"/>
                              <w:sz w:val="20"/>
                              <w:szCs w:val="20"/>
                              <w:rtl w:val="0"/>
                              <w:lang w:val="en-US"/>
                            </w:rPr>
                            <w:t xml:space="preserve">Chart 4. </w:t>
                          </w:r>
                          <w:r>
                            <w:rPr>
                              <w:sz w:val="20"/>
                              <w:szCs w:val="20"/>
                              <w:rtl w:val="0"/>
                              <w:lang w:val="en-US"/>
                            </w:rPr>
                            <w:t>The average frequency of which all the agroecological practices are being practiced, and also the frequencies of the clusters identified in Table 2. The frequency is based on the 5-point Likert Scale, where 1 is Never and 5 is Always, when asked if they practiced the practices defined in the same table.</w:t>
                          </w:r>
                        </w:p>
                      </w:txbxContent>
                    </v:textbox>
                  </v:rect>
                </v:group>
                <v:group id="_x0000_s1033" style="position:absolute;left:1;top:2074130;width:5943599;height:1886167;" coordorigin="0,0" coordsize="5943599,1886167">
                  <v:shape id="_x0000_s1034" type="#_x0000_t75" style="position:absolute;left:1752001;top:0;width:4108354;height:1129730;">
                    <v:imagedata r:id="rId14" o:title=""/>
                  </v:shape>
                  <v:rect id="_x0000_s1035" style="position:absolute;left:0;top:1355041;width:5943599;height:531126;">
                    <v:fill on="f"/>
                    <v:stroke on="f" weight="1.0pt" dashstyle="solid" endcap="flat" miterlimit="400.0%" joinstyle="miter" linestyle="single" startarrow="none" startarrowwidth="medium" startarrowlength="medium" endarrow="none" endarrowwidth="medium" endarrowlength="medium"/>
                    <v:textbox>
                      <w:txbxContent>
                        <w:p>
                          <w:pPr>
                            <w:pStyle w:val="Body B"/>
                            <w:jc w:val="both"/>
                          </w:pPr>
                          <w:r>
                            <w:rPr>
                              <w:b w:val="1"/>
                              <w:bCs w:val="1"/>
                              <w:sz w:val="20"/>
                              <w:szCs w:val="20"/>
                              <w:rtl w:val="0"/>
                              <w:lang w:val="en-US"/>
                            </w:rPr>
                            <w:t xml:space="preserve">Chart 5. </w:t>
                          </w:r>
                          <w:r>
                            <w:rPr>
                              <w:sz w:val="20"/>
                              <w:szCs w:val="20"/>
                              <w:rtl w:val="0"/>
                              <w:lang w:val="en-US"/>
                            </w:rPr>
                            <w:t>The average frequency of which all the agroecological practices are being practiced, based per producer organisation. The frequency is based on the 5-point Likert Scale, where 1 is Never and 5 is Always, when asked if they practiced the practices defined in the same table.</w:t>
                          </w:r>
                        </w:p>
                      </w:txbxContent>
                    </v:textbox>
                  </v:rect>
                </v:group>
              </v:group>
              <o:OLEObject Type="Embed" ProgID="MSGraph.Chart.8" ShapeID="_x0000_s1031" DrawAspect="Content" ObjectID="_1141059231" r:id="rId15">
                <o:FieldCodes>\s</o:FieldCodes>
              </o:OLEObject>
              <o:OLEObject Type="Embed" ProgID="MSGraph.Chart.8" ShapeID="_x0000_s1034" DrawAspect="Content" ObjectID="_1141059232" r:id="rId16">
                <o:FieldCodes>\s</o:FieldCodes>
              </o:OLEObject>
            </w:pict>
          </mc:Fallback>
        </mc:AlternateContent>
      </w:r>
    </w:p>
    <w:p w:rsidR="003027AD" w:rsidRDefault="000E279B">
      <w:pPr>
        <w:pStyle w:val="BodyA"/>
        <w:spacing w:after="100"/>
        <w:rPr>
          <w:rFonts w:ascii="Arial" w:eastAsia="Arial" w:hAnsi="Arial" w:cs="Arial"/>
        </w:rPr>
      </w:pPr>
      <w:r>
        <w:rPr>
          <w:rFonts w:ascii="Arial" w:hAnsi="Arial"/>
        </w:rPr>
        <w:t xml:space="preserve">Breaking down the list of agroecological practices differently, Chart 5 depicts the frequency of the agroecological practices, </w:t>
      </w:r>
      <w:proofErr w:type="spellStart"/>
      <w:r>
        <w:rPr>
          <w:rFonts w:ascii="Arial" w:hAnsi="Arial"/>
        </w:rPr>
        <w:t>a long</w:t>
      </w:r>
      <w:proofErr w:type="spellEnd"/>
      <w:r>
        <w:rPr>
          <w:rFonts w:ascii="Arial" w:hAnsi="Arial"/>
        </w:rPr>
        <w:t xml:space="preserve"> the lines of which producer </w:t>
      </w:r>
      <w:proofErr w:type="spellStart"/>
      <w:r>
        <w:rPr>
          <w:rFonts w:ascii="Arial" w:hAnsi="Arial"/>
        </w:rPr>
        <w:t>organi</w:t>
      </w:r>
      <w:r>
        <w:rPr>
          <w:rFonts w:ascii="Arial" w:hAnsi="Arial"/>
        </w:rPr>
        <w:t>sation</w:t>
      </w:r>
      <w:proofErr w:type="spellEnd"/>
      <w:r>
        <w:rPr>
          <w:rFonts w:ascii="Arial" w:hAnsi="Arial"/>
        </w:rPr>
        <w:t xml:space="preserve"> the respondent </w:t>
      </w:r>
      <w:proofErr w:type="gramStart"/>
      <w:r>
        <w:rPr>
          <w:rFonts w:ascii="Arial" w:hAnsi="Arial"/>
        </w:rPr>
        <w:t>is affiliated</w:t>
      </w:r>
      <w:proofErr w:type="gramEnd"/>
      <w:r>
        <w:rPr>
          <w:rFonts w:ascii="Arial" w:hAnsi="Arial"/>
        </w:rPr>
        <w:t xml:space="preserve"> with. It is unsurprising considering the strict set of rules that the respondents affiliated with FORO </w:t>
      </w:r>
      <w:proofErr w:type="spellStart"/>
      <w:r>
        <w:rPr>
          <w:rFonts w:ascii="Arial" w:hAnsi="Arial"/>
        </w:rPr>
        <w:t>Miraflor</w:t>
      </w:r>
      <w:proofErr w:type="spellEnd"/>
      <w:r>
        <w:rPr>
          <w:rFonts w:ascii="Arial" w:hAnsi="Arial"/>
        </w:rPr>
        <w:t xml:space="preserve"> come out the strongest </w:t>
      </w:r>
      <w:proofErr w:type="gramStart"/>
      <w:r>
        <w:rPr>
          <w:rFonts w:ascii="Arial" w:hAnsi="Arial"/>
        </w:rPr>
        <w:t>with regards to</w:t>
      </w:r>
      <w:proofErr w:type="gramEnd"/>
      <w:r>
        <w:rPr>
          <w:rFonts w:ascii="Arial" w:hAnsi="Arial"/>
        </w:rPr>
        <w:t xml:space="preserve"> agroecological practices. As FEM was also mainly promoting agroecolog</w:t>
      </w:r>
      <w:r>
        <w:rPr>
          <w:rFonts w:ascii="Arial" w:hAnsi="Arial"/>
        </w:rPr>
        <w:t xml:space="preserve">ical practices, it suits that it should be second on the </w:t>
      </w:r>
      <w:r>
        <w:rPr>
          <w:rFonts w:ascii="Arial" w:hAnsi="Arial"/>
        </w:rPr>
        <w:t>‘</w:t>
      </w:r>
      <w:r>
        <w:rPr>
          <w:rFonts w:ascii="Arial" w:hAnsi="Arial"/>
        </w:rPr>
        <w:t>ranking</w:t>
      </w:r>
      <w:r>
        <w:rPr>
          <w:rFonts w:ascii="Arial" w:hAnsi="Arial"/>
        </w:rPr>
        <w:t>’</w:t>
      </w:r>
      <w:r>
        <w:rPr>
          <w:rFonts w:ascii="Arial" w:hAnsi="Arial"/>
        </w:rPr>
        <w:t xml:space="preserve">, while the remaining three producer </w:t>
      </w:r>
      <w:proofErr w:type="spellStart"/>
      <w:r>
        <w:rPr>
          <w:rFonts w:ascii="Arial" w:hAnsi="Arial"/>
        </w:rPr>
        <w:t>organisations</w:t>
      </w:r>
      <w:proofErr w:type="spellEnd"/>
      <w:r>
        <w:rPr>
          <w:rFonts w:ascii="Arial" w:hAnsi="Arial"/>
        </w:rPr>
        <w:t xml:space="preserve">, ASDENIC, OCTUPAN and UNAG, also work with more conventional agricultural practices, which could explain their lower </w:t>
      </w:r>
      <w:r>
        <w:rPr>
          <w:rFonts w:ascii="Arial" w:hAnsi="Arial"/>
        </w:rPr>
        <w:t>‘</w:t>
      </w:r>
      <w:r>
        <w:rPr>
          <w:rFonts w:ascii="Arial" w:hAnsi="Arial"/>
        </w:rPr>
        <w:t>ranking</w:t>
      </w:r>
      <w:r>
        <w:rPr>
          <w:rFonts w:ascii="Arial" w:hAnsi="Arial"/>
        </w:rPr>
        <w:t>’</w:t>
      </w:r>
      <w:r>
        <w:rPr>
          <w:rFonts w:ascii="Arial" w:hAnsi="Arial"/>
        </w:rPr>
        <w:t>.</w:t>
      </w:r>
    </w:p>
    <w:p w:rsidR="003027AD" w:rsidRDefault="000E279B">
      <w:pPr>
        <w:pStyle w:val="BodyB"/>
        <w:spacing w:after="100"/>
        <w:jc w:val="both"/>
        <w:rPr>
          <w:rFonts w:ascii="Arial" w:eastAsia="Arial" w:hAnsi="Arial" w:cs="Arial"/>
        </w:rPr>
      </w:pPr>
      <w:r>
        <w:rPr>
          <w:rFonts w:ascii="Arial" w:hAnsi="Arial"/>
        </w:rPr>
        <w:t>The data al</w:t>
      </w:r>
      <w:r>
        <w:rPr>
          <w:rFonts w:ascii="Arial" w:hAnsi="Arial"/>
        </w:rPr>
        <w:t>so showed strong interlinkages between the scales on perception of risk, uncertainty and benefits. The uncertainty and risk perception scales correlated significantly and positively with each other (.61**). The uncertainty (-.25**) and risk (-.22*) percept</w:t>
      </w:r>
      <w:r>
        <w:rPr>
          <w:rFonts w:ascii="Arial" w:hAnsi="Arial"/>
        </w:rPr>
        <w:t>ion both correlated significantly and negatively with the benefit perceptions. This meant that when the uncertainty perception decreased, so did the risk perception and vice versa. As both the uncertainty and risk perception decreased, the benefit percepti</w:t>
      </w:r>
      <w:r>
        <w:rPr>
          <w:rFonts w:ascii="Arial" w:hAnsi="Arial"/>
        </w:rPr>
        <w:t>on increased.</w:t>
      </w:r>
    </w:p>
    <w:p w:rsidR="003027AD" w:rsidRDefault="000E279B">
      <w:pPr>
        <w:pStyle w:val="BodyB"/>
        <w:spacing w:after="100"/>
        <w:jc w:val="both"/>
        <w:rPr>
          <w:rFonts w:ascii="Arial" w:eastAsia="Arial" w:hAnsi="Arial" w:cs="Arial"/>
        </w:rPr>
      </w:pPr>
      <w:r>
        <w:rPr>
          <w:rFonts w:ascii="Arial" w:eastAsia="Arial" w:hAnsi="Arial" w:cs="Arial"/>
        </w:rPr>
        <w:tab/>
        <w:t xml:space="preserve">There are thus some strong linkages between the </w:t>
      </w:r>
      <w:r>
        <w:rPr>
          <w:rFonts w:ascii="Arial" w:hAnsi="Arial"/>
        </w:rPr>
        <w:t xml:space="preserve">variables, yet the two strongest predictors of practicing agroecological </w:t>
      </w:r>
      <w:proofErr w:type="spellStart"/>
      <w:r>
        <w:rPr>
          <w:rFonts w:ascii="Arial" w:hAnsi="Arial"/>
        </w:rPr>
        <w:t>behaviour</w:t>
      </w:r>
      <w:proofErr w:type="spellEnd"/>
      <w:r>
        <w:rPr>
          <w:rFonts w:ascii="Arial" w:hAnsi="Arial"/>
        </w:rPr>
        <w:t xml:space="preserve"> are the </w:t>
      </w:r>
      <w:proofErr w:type="spellStart"/>
      <w:r>
        <w:rPr>
          <w:rFonts w:ascii="Arial" w:hAnsi="Arial"/>
        </w:rPr>
        <w:t>behavioural</w:t>
      </w:r>
      <w:proofErr w:type="spellEnd"/>
      <w:r>
        <w:rPr>
          <w:rFonts w:ascii="Arial" w:hAnsi="Arial"/>
        </w:rPr>
        <w:t xml:space="preserve"> control expectancy scale and the personal norms scale. This means that according to this d</w:t>
      </w:r>
      <w:r>
        <w:rPr>
          <w:rFonts w:ascii="Arial" w:hAnsi="Arial"/>
        </w:rPr>
        <w:t>ata the sense of obligation and the perception on self-efficacy are the two main drivers behind adoption of agroecological production methods.</w:t>
      </w:r>
    </w:p>
    <w:p w:rsidR="003027AD" w:rsidRDefault="003027AD">
      <w:pPr>
        <w:pStyle w:val="Body"/>
        <w:spacing w:after="100"/>
        <w:rPr>
          <w:i/>
          <w:iCs/>
          <w:sz w:val="24"/>
          <w:szCs w:val="24"/>
        </w:rPr>
      </w:pPr>
    </w:p>
    <w:p w:rsidR="003027AD" w:rsidRDefault="003027AD">
      <w:pPr>
        <w:pStyle w:val="Body"/>
        <w:spacing w:after="100"/>
        <w:rPr>
          <w:i/>
          <w:iCs/>
          <w:sz w:val="24"/>
          <w:szCs w:val="24"/>
        </w:rPr>
      </w:pPr>
    </w:p>
    <w:p w:rsidR="003027AD" w:rsidRDefault="000E279B">
      <w:pPr>
        <w:pStyle w:val="Body"/>
        <w:spacing w:after="100"/>
        <w:rPr>
          <w:i/>
          <w:iCs/>
          <w:sz w:val="24"/>
          <w:szCs w:val="24"/>
        </w:rPr>
      </w:pPr>
      <w:r>
        <w:rPr>
          <w:i/>
          <w:iCs/>
          <w:sz w:val="24"/>
          <w:szCs w:val="24"/>
        </w:rPr>
        <w:t>Barriers to the scaling up of agroecological production</w:t>
      </w:r>
    </w:p>
    <w:p w:rsidR="003027AD" w:rsidRDefault="000E279B">
      <w:pPr>
        <w:pStyle w:val="Body"/>
        <w:numPr>
          <w:ilvl w:val="0"/>
          <w:numId w:val="2"/>
        </w:numPr>
        <w:spacing w:after="100"/>
        <w:rPr>
          <w:sz w:val="24"/>
          <w:szCs w:val="24"/>
        </w:rPr>
      </w:pPr>
      <w:r>
        <w:rPr>
          <w:sz w:val="24"/>
          <w:szCs w:val="24"/>
        </w:rPr>
        <w:t>“islands of agroecology” in national AIS = nonalignment</w:t>
      </w:r>
      <w:r>
        <w:rPr>
          <w:sz w:val="24"/>
          <w:szCs w:val="24"/>
        </w:rPr>
        <w:t xml:space="preserve"> of agroecological work</w:t>
      </w:r>
    </w:p>
    <w:p w:rsidR="003027AD" w:rsidRDefault="000E279B">
      <w:pPr>
        <w:pStyle w:val="Body"/>
        <w:numPr>
          <w:ilvl w:val="0"/>
          <w:numId w:val="2"/>
        </w:numPr>
        <w:spacing w:after="100"/>
        <w:rPr>
          <w:sz w:val="24"/>
          <w:szCs w:val="24"/>
        </w:rPr>
      </w:pPr>
      <w:r>
        <w:rPr>
          <w:sz w:val="24"/>
          <w:szCs w:val="24"/>
        </w:rPr>
        <w:t>no differentiation between conventional and agroecological products in local and national markets = no price premium for agroecological products</w:t>
      </w:r>
    </w:p>
    <w:p w:rsidR="003027AD" w:rsidRDefault="000E279B">
      <w:pPr>
        <w:pStyle w:val="Body"/>
        <w:numPr>
          <w:ilvl w:val="0"/>
          <w:numId w:val="2"/>
        </w:numPr>
        <w:spacing w:after="100"/>
        <w:rPr>
          <w:sz w:val="24"/>
          <w:szCs w:val="24"/>
        </w:rPr>
      </w:pPr>
      <w:r>
        <w:rPr>
          <w:sz w:val="24"/>
          <w:szCs w:val="24"/>
        </w:rPr>
        <w:t>little consumer awareness of benefits of agroecological products</w:t>
      </w:r>
    </w:p>
    <w:p w:rsidR="003027AD" w:rsidRDefault="000E279B">
      <w:pPr>
        <w:pStyle w:val="Body"/>
        <w:numPr>
          <w:ilvl w:val="0"/>
          <w:numId w:val="2"/>
        </w:numPr>
        <w:spacing w:after="100"/>
        <w:rPr>
          <w:sz w:val="24"/>
          <w:szCs w:val="24"/>
        </w:rPr>
      </w:pPr>
      <w:r>
        <w:rPr>
          <w:sz w:val="24"/>
          <w:szCs w:val="24"/>
        </w:rPr>
        <w:t>rapid change of govern</w:t>
      </w:r>
      <w:r>
        <w:rPr>
          <w:sz w:val="24"/>
          <w:szCs w:val="24"/>
        </w:rPr>
        <w:t>ment officials dealing with agroecology</w:t>
      </w:r>
    </w:p>
    <w:p w:rsidR="003027AD" w:rsidRDefault="000E279B">
      <w:pPr>
        <w:pStyle w:val="Body"/>
        <w:numPr>
          <w:ilvl w:val="0"/>
          <w:numId w:val="2"/>
        </w:numPr>
        <w:spacing w:after="100"/>
        <w:rPr>
          <w:sz w:val="24"/>
          <w:szCs w:val="24"/>
        </w:rPr>
      </w:pPr>
      <w:r>
        <w:rPr>
          <w:sz w:val="24"/>
          <w:szCs w:val="24"/>
        </w:rPr>
        <w:t>no specific loans or financial products for parameters of agroecological production</w:t>
      </w:r>
    </w:p>
    <w:p w:rsidR="003027AD" w:rsidRDefault="000E279B">
      <w:pPr>
        <w:pStyle w:val="Body"/>
        <w:numPr>
          <w:ilvl w:val="0"/>
          <w:numId w:val="2"/>
        </w:numPr>
        <w:spacing w:after="100"/>
        <w:rPr>
          <w:sz w:val="24"/>
          <w:szCs w:val="24"/>
        </w:rPr>
      </w:pPr>
      <w:r>
        <w:rPr>
          <w:sz w:val="24"/>
          <w:szCs w:val="24"/>
        </w:rPr>
        <w:t xml:space="preserve">lacking sufficient production of and timely access to bio-inputs (seeds, fertilizers, pest and disease management products) </w:t>
      </w:r>
    </w:p>
    <w:p w:rsidR="003027AD" w:rsidRDefault="000E279B">
      <w:pPr>
        <w:pStyle w:val="Body"/>
        <w:numPr>
          <w:ilvl w:val="0"/>
          <w:numId w:val="2"/>
        </w:numPr>
        <w:spacing w:after="100"/>
        <w:rPr>
          <w:sz w:val="24"/>
          <w:szCs w:val="24"/>
        </w:rPr>
      </w:pPr>
      <w:r>
        <w:rPr>
          <w:sz w:val="24"/>
          <w:szCs w:val="24"/>
        </w:rPr>
        <w:t xml:space="preserve">fragmentation of smallholders’ land parcels = more difficult implementation of holistic agroecological practices </w:t>
      </w:r>
    </w:p>
    <w:p w:rsidR="003027AD" w:rsidRDefault="000E279B">
      <w:pPr>
        <w:pStyle w:val="Body"/>
        <w:numPr>
          <w:ilvl w:val="0"/>
          <w:numId w:val="2"/>
        </w:numPr>
        <w:spacing w:after="100"/>
        <w:rPr>
          <w:sz w:val="24"/>
          <w:szCs w:val="24"/>
        </w:rPr>
      </w:pPr>
      <w:r>
        <w:rPr>
          <w:sz w:val="24"/>
          <w:szCs w:val="24"/>
        </w:rPr>
        <w:t>chemical runoff from neighboring conventional farmers’ fields</w:t>
      </w:r>
    </w:p>
    <w:p w:rsidR="003027AD" w:rsidRDefault="000E279B">
      <w:pPr>
        <w:pStyle w:val="Body"/>
        <w:numPr>
          <w:ilvl w:val="0"/>
          <w:numId w:val="2"/>
        </w:numPr>
        <w:spacing w:after="100"/>
        <w:rPr>
          <w:i/>
          <w:iCs/>
          <w:sz w:val="24"/>
          <w:szCs w:val="24"/>
        </w:rPr>
      </w:pPr>
      <w:r>
        <w:rPr>
          <w:sz w:val="24"/>
          <w:szCs w:val="24"/>
        </w:rPr>
        <w:t>needs of farmers are communicated to research institutes, but results of researc</w:t>
      </w:r>
      <w:r>
        <w:rPr>
          <w:sz w:val="24"/>
          <w:szCs w:val="24"/>
        </w:rPr>
        <w:t>h not disseminated back to farmers</w:t>
      </w:r>
    </w:p>
    <w:p w:rsidR="003027AD" w:rsidRDefault="003027AD">
      <w:pPr>
        <w:pStyle w:val="Body"/>
        <w:spacing w:after="100"/>
        <w:rPr>
          <w:i/>
          <w:iCs/>
          <w:sz w:val="24"/>
          <w:szCs w:val="24"/>
        </w:rPr>
      </w:pPr>
    </w:p>
    <w:p w:rsidR="003027AD" w:rsidRDefault="000E279B">
      <w:pPr>
        <w:pStyle w:val="Body"/>
        <w:spacing w:after="100"/>
        <w:rPr>
          <w:i/>
          <w:iCs/>
          <w:sz w:val="24"/>
          <w:szCs w:val="24"/>
        </w:rPr>
      </w:pPr>
      <w:r>
        <w:rPr>
          <w:i/>
          <w:iCs/>
          <w:sz w:val="24"/>
          <w:szCs w:val="24"/>
        </w:rPr>
        <w:t>Strategies to promote agroecological production in the ‘mixed grains’ territory</w:t>
      </w:r>
    </w:p>
    <w:p w:rsidR="003027AD" w:rsidRDefault="000E279B">
      <w:pPr>
        <w:pStyle w:val="BodyA"/>
        <w:spacing w:after="100"/>
        <w:rPr>
          <w:rFonts w:ascii="Arial" w:eastAsia="Arial" w:hAnsi="Arial" w:cs="Arial"/>
        </w:rPr>
      </w:pPr>
      <w:r>
        <w:rPr>
          <w:rFonts w:ascii="Arial" w:hAnsi="Arial"/>
        </w:rPr>
        <w:t xml:space="preserve">The diversity in application of agroecological production methods </w:t>
      </w:r>
      <w:proofErr w:type="gramStart"/>
      <w:r>
        <w:rPr>
          <w:rFonts w:ascii="Arial" w:hAnsi="Arial"/>
        </w:rPr>
        <w:t>either highlights</w:t>
      </w:r>
      <w:proofErr w:type="gramEnd"/>
      <w:r>
        <w:rPr>
          <w:rFonts w:ascii="Arial" w:hAnsi="Arial"/>
        </w:rPr>
        <w:t xml:space="preserve"> that the farmers are in transition towards applying agro</w:t>
      </w:r>
      <w:r>
        <w:rPr>
          <w:rFonts w:ascii="Arial" w:hAnsi="Arial"/>
        </w:rPr>
        <w:t xml:space="preserve">ecology holistically, or that they have applied as many of these methods as they plan on doing. The data also shows that when a farmer is working with an </w:t>
      </w:r>
      <w:proofErr w:type="spellStart"/>
      <w:r>
        <w:rPr>
          <w:rFonts w:ascii="Arial" w:hAnsi="Arial"/>
        </w:rPr>
        <w:t>organisation</w:t>
      </w:r>
      <w:proofErr w:type="spellEnd"/>
      <w:r>
        <w:rPr>
          <w:rFonts w:ascii="Arial" w:hAnsi="Arial"/>
        </w:rPr>
        <w:t xml:space="preserve"> that is also promoting conventional agriculture, the use of agroecological production met</w:t>
      </w:r>
      <w:r>
        <w:rPr>
          <w:rFonts w:ascii="Arial" w:hAnsi="Arial"/>
        </w:rPr>
        <w:t xml:space="preserve">hods is lower on average. This </w:t>
      </w:r>
      <w:proofErr w:type="gramStart"/>
      <w:r>
        <w:rPr>
          <w:rFonts w:ascii="Arial" w:hAnsi="Arial"/>
        </w:rPr>
        <w:t>could be explained</w:t>
      </w:r>
      <w:proofErr w:type="gramEnd"/>
      <w:r>
        <w:rPr>
          <w:rFonts w:ascii="Arial" w:hAnsi="Arial"/>
        </w:rPr>
        <w:t xml:space="preserve"> by the confusing message the </w:t>
      </w:r>
      <w:proofErr w:type="spellStart"/>
      <w:r>
        <w:rPr>
          <w:rFonts w:ascii="Arial" w:hAnsi="Arial"/>
        </w:rPr>
        <w:t>organisation</w:t>
      </w:r>
      <w:proofErr w:type="spellEnd"/>
      <w:r>
        <w:rPr>
          <w:rFonts w:ascii="Arial" w:hAnsi="Arial"/>
        </w:rPr>
        <w:t xml:space="preserve"> brings across to farmers, as it can already be confusing for the </w:t>
      </w:r>
      <w:proofErr w:type="spellStart"/>
      <w:r>
        <w:rPr>
          <w:rFonts w:ascii="Arial" w:hAnsi="Arial"/>
        </w:rPr>
        <w:t>organisations</w:t>
      </w:r>
      <w:proofErr w:type="spellEnd"/>
      <w:r>
        <w:rPr>
          <w:rFonts w:ascii="Arial" w:hAnsi="Arial"/>
        </w:rPr>
        <w:t xml:space="preserve"> themselves (ref - interview representative ASDENIC). This is where links start to app</w:t>
      </w:r>
      <w:r>
        <w:rPr>
          <w:rFonts w:ascii="Arial" w:hAnsi="Arial"/>
        </w:rPr>
        <w:t>ear to the innovation systems analysis of the push to scale up agroecology in Nicaragua (see Schiller et al., forthcoming).</w:t>
      </w:r>
    </w:p>
    <w:p w:rsidR="003027AD" w:rsidRDefault="003027AD">
      <w:pPr>
        <w:pStyle w:val="BodyA"/>
        <w:spacing w:after="100"/>
        <w:rPr>
          <w:rFonts w:ascii="Arial" w:eastAsia="Arial" w:hAnsi="Arial" w:cs="Arial"/>
        </w:rPr>
      </w:pPr>
    </w:p>
    <w:p w:rsidR="003027AD" w:rsidRDefault="000E279B">
      <w:pPr>
        <w:pStyle w:val="Body"/>
        <w:numPr>
          <w:ilvl w:val="0"/>
          <w:numId w:val="3"/>
        </w:numPr>
        <w:spacing w:after="100"/>
        <w:rPr>
          <w:sz w:val="24"/>
          <w:szCs w:val="24"/>
        </w:rPr>
      </w:pPr>
      <w:r>
        <w:rPr>
          <w:sz w:val="24"/>
          <w:szCs w:val="24"/>
        </w:rPr>
        <w:t>Diversification of producer cooperatives’ one-crop focus</w:t>
      </w:r>
    </w:p>
    <w:p w:rsidR="003027AD" w:rsidRDefault="000E279B">
      <w:pPr>
        <w:pStyle w:val="Body"/>
        <w:numPr>
          <w:ilvl w:val="0"/>
          <w:numId w:val="3"/>
        </w:numPr>
        <w:spacing w:after="100"/>
        <w:jc w:val="both"/>
        <w:rPr>
          <w:sz w:val="24"/>
          <w:szCs w:val="24"/>
        </w:rPr>
      </w:pPr>
      <w:r>
        <w:rPr>
          <w:sz w:val="24"/>
          <w:szCs w:val="24"/>
        </w:rPr>
        <w:t xml:space="preserve">Liaising between IP and the Estelí branch of Banco </w:t>
      </w:r>
      <w:proofErr w:type="spellStart"/>
      <w:r>
        <w:rPr>
          <w:sz w:val="24"/>
          <w:szCs w:val="24"/>
        </w:rPr>
        <w:t>Produzcamos</w:t>
      </w:r>
      <w:proofErr w:type="spellEnd"/>
      <w:r>
        <w:rPr>
          <w:sz w:val="24"/>
          <w:szCs w:val="24"/>
        </w:rPr>
        <w:t xml:space="preserve"> to identify</w:t>
      </w:r>
      <w:r>
        <w:rPr>
          <w:sz w:val="24"/>
          <w:szCs w:val="24"/>
        </w:rPr>
        <w:t xml:space="preserve"> opportunities for financial products specific to parameters of agroecological production (</w:t>
      </w:r>
      <w:proofErr w:type="spellStart"/>
      <w:r>
        <w:rPr>
          <w:sz w:val="24"/>
          <w:szCs w:val="24"/>
        </w:rPr>
        <w:t>eg</w:t>
      </w:r>
      <w:proofErr w:type="spellEnd"/>
      <w:r>
        <w:rPr>
          <w:sz w:val="24"/>
          <w:szCs w:val="24"/>
        </w:rPr>
        <w:t xml:space="preserve"> loan programs for diversified systems, not just single-crop based loans) </w:t>
      </w:r>
    </w:p>
    <w:p w:rsidR="003027AD" w:rsidRDefault="000E279B">
      <w:pPr>
        <w:pStyle w:val="Body"/>
        <w:numPr>
          <w:ilvl w:val="0"/>
          <w:numId w:val="3"/>
        </w:numPr>
        <w:spacing w:after="100"/>
        <w:jc w:val="both"/>
        <w:rPr>
          <w:sz w:val="24"/>
          <w:szCs w:val="24"/>
        </w:rPr>
      </w:pPr>
      <w:r>
        <w:rPr>
          <w:sz w:val="24"/>
          <w:szCs w:val="24"/>
        </w:rPr>
        <w:t>Liaising with large ranchers for manure for small producers to use as fertilizer</w:t>
      </w:r>
    </w:p>
    <w:p w:rsidR="003027AD" w:rsidRDefault="000E279B">
      <w:pPr>
        <w:pStyle w:val="Body"/>
        <w:numPr>
          <w:ilvl w:val="0"/>
          <w:numId w:val="3"/>
        </w:numPr>
        <w:spacing w:after="100"/>
        <w:jc w:val="both"/>
        <w:rPr>
          <w:sz w:val="24"/>
          <w:szCs w:val="24"/>
        </w:rPr>
      </w:pPr>
      <w:r>
        <w:rPr>
          <w:sz w:val="24"/>
          <w:szCs w:val="24"/>
        </w:rPr>
        <w:t>Stronge</w:t>
      </w:r>
      <w:r>
        <w:rPr>
          <w:sz w:val="24"/>
          <w:szCs w:val="24"/>
        </w:rPr>
        <w:t>r interactions between producer organizations and local research institutes concerning the sufficient and timely production of clean native seeds, especially for mixed grains</w:t>
      </w:r>
    </w:p>
    <w:p w:rsidR="003027AD" w:rsidRDefault="000E279B">
      <w:pPr>
        <w:pStyle w:val="Body"/>
        <w:numPr>
          <w:ilvl w:val="0"/>
          <w:numId w:val="3"/>
        </w:numPr>
        <w:spacing w:after="100"/>
        <w:jc w:val="both"/>
        <w:rPr>
          <w:sz w:val="24"/>
          <w:szCs w:val="24"/>
        </w:rPr>
      </w:pPr>
      <w:r>
        <w:rPr>
          <w:sz w:val="24"/>
          <w:szCs w:val="24"/>
        </w:rPr>
        <w:t xml:space="preserve">Linking to psycho-behavioral aspects influencing farmers’ decisions </w:t>
      </w:r>
      <w:proofErr w:type="gramStart"/>
      <w:r>
        <w:rPr>
          <w:sz w:val="24"/>
          <w:szCs w:val="24"/>
        </w:rPr>
        <w:t>to (not) adopt</w:t>
      </w:r>
      <w:proofErr w:type="gramEnd"/>
      <w:r>
        <w:rPr>
          <w:sz w:val="24"/>
          <w:szCs w:val="24"/>
        </w:rPr>
        <w:t xml:space="preserve"> agroecological methods: </w:t>
      </w:r>
      <w:r>
        <w:rPr>
          <w:sz w:val="24"/>
          <w:szCs w:val="24"/>
        </w:rPr>
        <w:t>various aspects of the norm-activation theory, as well as the locus of control aspect of BCE, explain the adoption of agroecological production methods</w:t>
      </w:r>
      <w:r>
        <w:rPr>
          <w:sz w:val="24"/>
          <w:szCs w:val="24"/>
        </w:rPr>
        <w:t>. Farmers’ sense of obligation to change, and the perception of</w:t>
      </w:r>
      <w:r>
        <w:rPr>
          <w:sz w:val="24"/>
          <w:szCs w:val="24"/>
        </w:rPr>
        <w:t xml:space="preserve"> one’s own ability to change, are the biggest drivers of adoption (see Figure 2). This underscores the central importance of supporting farmers in capacity development, co-learning, and co-innovation processes.</w:t>
      </w:r>
      <w:r>
        <w:rPr>
          <w:noProof/>
          <w:sz w:val="24"/>
          <w:szCs w:val="24"/>
          <w:lang w:val="de-DE"/>
        </w:rPr>
        <mc:AlternateContent>
          <mc:Choice Requires="wpg">
            <w:drawing>
              <wp:anchor distT="101600" distB="101600" distL="101600" distR="101600" simplePos="0" relativeHeight="251660288" behindDoc="0" locked="0" layoutInCell="1" allowOverlap="1">
                <wp:simplePos x="0" y="0"/>
                <wp:positionH relativeFrom="margin">
                  <wp:posOffset>154939</wp:posOffset>
                </wp:positionH>
                <wp:positionV relativeFrom="line">
                  <wp:posOffset>311192</wp:posOffset>
                </wp:positionV>
                <wp:extent cx="3441200" cy="3126209"/>
                <wp:effectExtent l="0" t="0" r="0" b="0"/>
                <wp:wrapTopAndBottom distT="101600" distB="101600"/>
                <wp:docPr id="1073741843" name="officeArt object"/>
                <wp:cNvGraphicFramePr/>
                <a:graphic xmlns:a="http://schemas.openxmlformats.org/drawingml/2006/main">
                  <a:graphicData uri="http://schemas.microsoft.com/office/word/2010/wordprocessingGroup">
                    <wpg:wgp>
                      <wpg:cNvGrpSpPr/>
                      <wpg:grpSpPr>
                        <a:xfrm>
                          <a:off x="0" y="0"/>
                          <a:ext cx="3441200" cy="3126209"/>
                          <a:chOff x="0" y="0"/>
                          <a:chExt cx="3441199" cy="3126208"/>
                        </a:xfrm>
                      </wpg:grpSpPr>
                      <pic:pic xmlns:pic="http://schemas.openxmlformats.org/drawingml/2006/picture">
                        <pic:nvPicPr>
                          <pic:cNvPr id="1073741841" name="image6.jpeg"/>
                          <pic:cNvPicPr>
                            <a:picLocks noChangeAspect="1"/>
                          </pic:cNvPicPr>
                        </pic:nvPicPr>
                        <pic:blipFill>
                          <a:blip r:embed="rId17">
                            <a:extLst/>
                          </a:blip>
                          <a:stretch>
                            <a:fillRect/>
                          </a:stretch>
                        </pic:blipFill>
                        <pic:spPr>
                          <a:xfrm>
                            <a:off x="0" y="-1"/>
                            <a:ext cx="3441200" cy="2525314"/>
                          </a:xfrm>
                          <a:prstGeom prst="rect">
                            <a:avLst/>
                          </a:prstGeom>
                          <a:ln w="12700" cap="flat">
                            <a:noFill/>
                            <a:miter lim="400000"/>
                          </a:ln>
                          <a:effectLst/>
                        </pic:spPr>
                      </pic:pic>
                      <wps:wsp>
                        <wps:cNvPr id="1073741842" name="Shape 1073741842"/>
                        <wps:cNvSpPr/>
                        <wps:spPr>
                          <a:xfrm>
                            <a:off x="0" y="2525252"/>
                            <a:ext cx="3433238" cy="600956"/>
                          </a:xfrm>
                          <a:prstGeom prst="rect">
                            <a:avLst/>
                          </a:prstGeom>
                          <a:noFill/>
                          <a:ln w="12700" cap="flat">
                            <a:noFill/>
                            <a:miter lim="400000"/>
                          </a:ln>
                          <a:effectLst/>
                        </wps:spPr>
                        <wps:txbx>
                          <w:txbxContent>
                            <w:p w:rsidR="003027AD" w:rsidRDefault="000E279B">
                              <w:pPr>
                                <w:pStyle w:val="BodyB"/>
                              </w:pPr>
                              <w:r>
                                <w:rPr>
                                  <w:b/>
                                  <w:bCs/>
                                </w:rPr>
                                <w:t>Figure 2.</w:t>
                              </w:r>
                              <w:r>
                                <w:t xml:space="preserve"> Final correlations and linkages t</w:t>
                              </w:r>
                              <w:r>
                                <w:t>hat link to the agroecological practices.</w:t>
                              </w:r>
                            </w:p>
                          </w:txbxContent>
                        </wps:txbx>
                        <wps:bodyPr wrap="square" lIns="50800" tIns="50800" rIns="50800" bIns="50800" numCol="1" anchor="t">
                          <a:noAutofit/>
                        </wps:bodyPr>
                      </wps:wsp>
                    </wpg:wgp>
                  </a:graphicData>
                </a:graphic>
              </wp:anchor>
            </w:drawing>
          </mc:Choice>
          <mc:Fallback>
            <w:pict>
              <v:group id="_x0000_s1036" style="visibility:visible;position:absolute;margin-left:12.2pt;margin-top:24.5pt;width:271.0pt;height:246.2pt;z-index:251660288;mso-position-horizontal:absolute;mso-position-horizontal-relative:margin;mso-position-vertical:absolute;mso-position-vertical-relative:line;mso-wrap-distance-left:8.0pt;mso-wrap-distance-top:8.0pt;mso-wrap-distance-right:8.0pt;mso-wrap-distance-bottom:8.0pt;" coordorigin="0,0" coordsize="3441199,3126208">
                <w10:wrap type="topAndBottom" side="bothSides" anchorx="margin"/>
                <v:shape id="_x0000_s1037" type="#_x0000_t75" style="position:absolute;left:0;top:0;width:3441199;height:2525312;">
                  <v:imagedata r:id="rId18" o:title="image6.jpeg"/>
                </v:shape>
                <v:rect id="_x0000_s1038" style="position:absolute;left:0;top:2525252;width:3433237;height:600956;">
                  <v:fill on="f"/>
                  <v:stroke on="f" weight="1.0pt" dashstyle="solid" endcap="flat" miterlimit="400.0%" joinstyle="miter" linestyle="single" startarrow="none" startarrowwidth="medium" startarrowlength="medium" endarrow="none" endarrowwidth="medium" endarrowlength="medium"/>
                  <v:textbox>
                    <w:txbxContent>
                      <w:p>
                        <w:pPr>
                          <w:pStyle w:val="Body B"/>
                        </w:pPr>
                        <w:r>
                          <w:rPr>
                            <w:b w:val="1"/>
                            <w:bCs w:val="1"/>
                            <w:rtl w:val="0"/>
                            <w:lang w:val="en-US"/>
                          </w:rPr>
                          <w:t>Figure 2.</w:t>
                        </w:r>
                        <w:r>
                          <w:rPr>
                            <w:rtl w:val="0"/>
                            <w:lang w:val="en-US"/>
                          </w:rPr>
                          <w:t xml:space="preserve"> Final correlations and linkages that link to the agroecological practices.</w:t>
                        </w:r>
                      </w:p>
                    </w:txbxContent>
                  </v:textbox>
                </v:rect>
              </v:group>
            </w:pict>
          </mc:Fallback>
        </mc:AlternateContent>
      </w:r>
      <w:r>
        <w:rPr>
          <w:sz w:val="24"/>
          <w:szCs w:val="24"/>
        </w:rPr>
        <w:t xml:space="preserve"> </w:t>
      </w:r>
    </w:p>
    <w:p w:rsidR="003027AD" w:rsidRDefault="003027AD">
      <w:pPr>
        <w:pStyle w:val="Body"/>
        <w:spacing w:after="100"/>
        <w:rPr>
          <w:i/>
          <w:iCs/>
          <w:sz w:val="24"/>
          <w:szCs w:val="24"/>
        </w:rPr>
      </w:pPr>
    </w:p>
    <w:p w:rsidR="003027AD" w:rsidRDefault="000E279B">
      <w:pPr>
        <w:pStyle w:val="Body"/>
        <w:spacing w:after="100"/>
        <w:rPr>
          <w:i/>
          <w:iCs/>
          <w:sz w:val="24"/>
          <w:szCs w:val="24"/>
        </w:rPr>
      </w:pPr>
      <w:r>
        <w:rPr>
          <w:i/>
          <w:iCs/>
          <w:sz w:val="24"/>
          <w:szCs w:val="24"/>
        </w:rPr>
        <w:t>Incentive mechanisms to support agroecological production</w:t>
      </w:r>
    </w:p>
    <w:p w:rsidR="003027AD" w:rsidRDefault="000E279B">
      <w:pPr>
        <w:pStyle w:val="Body"/>
        <w:numPr>
          <w:ilvl w:val="0"/>
          <w:numId w:val="3"/>
        </w:numPr>
        <w:spacing w:after="100"/>
        <w:rPr>
          <w:sz w:val="24"/>
          <w:szCs w:val="24"/>
        </w:rPr>
      </w:pPr>
      <w:r>
        <w:rPr>
          <w:sz w:val="24"/>
          <w:szCs w:val="24"/>
        </w:rPr>
        <w:t>Financial support from Government for farmers during the transition period, when yields are low</w:t>
      </w:r>
    </w:p>
    <w:p w:rsidR="003027AD" w:rsidRDefault="000E279B">
      <w:pPr>
        <w:pStyle w:val="Body"/>
        <w:numPr>
          <w:ilvl w:val="0"/>
          <w:numId w:val="3"/>
        </w:numPr>
        <w:spacing w:after="100"/>
        <w:rPr>
          <w:sz w:val="24"/>
          <w:szCs w:val="24"/>
        </w:rPr>
      </w:pPr>
      <w:r>
        <w:rPr>
          <w:sz w:val="24"/>
          <w:szCs w:val="24"/>
        </w:rPr>
        <w:t>Specification of agroecological products in the marketpla</w:t>
      </w:r>
      <w:r>
        <w:rPr>
          <w:sz w:val="24"/>
          <w:szCs w:val="24"/>
        </w:rPr>
        <w:t>ce through a national public certification system (in progress)</w:t>
      </w:r>
    </w:p>
    <w:p w:rsidR="003027AD" w:rsidRDefault="000E279B">
      <w:pPr>
        <w:pStyle w:val="Body"/>
        <w:numPr>
          <w:ilvl w:val="0"/>
          <w:numId w:val="3"/>
        </w:numPr>
        <w:spacing w:after="100"/>
        <w:rPr>
          <w:sz w:val="24"/>
          <w:szCs w:val="24"/>
        </w:rPr>
      </w:pPr>
      <w:r>
        <w:rPr>
          <w:sz w:val="24"/>
          <w:szCs w:val="24"/>
        </w:rPr>
        <w:t>LINK analysis (</w:t>
      </w:r>
      <w:r>
        <w:rPr>
          <w:smallCaps/>
          <w:sz w:val="24"/>
          <w:szCs w:val="24"/>
        </w:rPr>
        <w:t>Lundy et al 20xx</w:t>
      </w:r>
      <w:r>
        <w:rPr>
          <w:sz w:val="24"/>
          <w:szCs w:val="24"/>
        </w:rPr>
        <w:t>) of the national value chain for agroecological products, with the goal of linking actors, from producers to consumers, to support the integration of agroecolog</w:t>
      </w:r>
      <w:r>
        <w:rPr>
          <w:sz w:val="24"/>
          <w:szCs w:val="24"/>
        </w:rPr>
        <w:t xml:space="preserve">ical products into the national food market. </w:t>
      </w:r>
    </w:p>
    <w:p w:rsidR="003027AD" w:rsidRDefault="000E279B">
      <w:pPr>
        <w:pStyle w:val="Body"/>
        <w:numPr>
          <w:ilvl w:val="0"/>
          <w:numId w:val="3"/>
        </w:numPr>
        <w:spacing w:after="100"/>
        <w:rPr>
          <w:sz w:val="24"/>
          <w:szCs w:val="24"/>
        </w:rPr>
      </w:pPr>
      <w:r>
        <w:rPr>
          <w:sz w:val="24"/>
          <w:szCs w:val="24"/>
        </w:rPr>
        <w:t xml:space="preserve">Public awareness campaign to raise consumers’ knowledge of the benefits of agroecological production, and the importance of buying agroecological products </w:t>
      </w:r>
    </w:p>
    <w:p w:rsidR="003027AD" w:rsidRDefault="000E279B">
      <w:pPr>
        <w:pStyle w:val="Body"/>
        <w:numPr>
          <w:ilvl w:val="0"/>
          <w:numId w:val="3"/>
        </w:numPr>
        <w:spacing w:after="100"/>
        <w:rPr>
          <w:sz w:val="24"/>
          <w:szCs w:val="24"/>
        </w:rPr>
      </w:pPr>
      <w:r>
        <w:rPr>
          <w:sz w:val="24"/>
          <w:szCs w:val="24"/>
        </w:rPr>
        <w:t xml:space="preserve">National agroecological extension program; support of </w:t>
      </w:r>
      <w:r>
        <w:rPr>
          <w:sz w:val="24"/>
          <w:szCs w:val="24"/>
        </w:rPr>
        <w:t>agroecological capacity-building for farmers (smallholders and large farmers)</w:t>
      </w:r>
    </w:p>
    <w:p w:rsidR="003027AD" w:rsidRDefault="000E279B">
      <w:pPr>
        <w:pStyle w:val="Body"/>
        <w:numPr>
          <w:ilvl w:val="0"/>
          <w:numId w:val="3"/>
        </w:numPr>
        <w:spacing w:after="100"/>
        <w:rPr>
          <w:sz w:val="24"/>
          <w:szCs w:val="24"/>
        </w:rPr>
      </w:pPr>
      <w:r>
        <w:rPr>
          <w:sz w:val="24"/>
          <w:szCs w:val="24"/>
        </w:rPr>
        <w:t>Clear national policies concerning agriculture</w:t>
      </w:r>
    </w:p>
    <w:p w:rsidR="003027AD" w:rsidRDefault="000E279B">
      <w:pPr>
        <w:pStyle w:val="Body"/>
        <w:numPr>
          <w:ilvl w:val="0"/>
          <w:numId w:val="3"/>
        </w:numPr>
        <w:spacing w:after="100"/>
        <w:rPr>
          <w:sz w:val="24"/>
          <w:szCs w:val="24"/>
        </w:rPr>
      </w:pPr>
      <w:r>
        <w:rPr>
          <w:sz w:val="24"/>
          <w:szCs w:val="24"/>
        </w:rPr>
        <w:t>More government financing of research into production of clean native seeds by national agricultural research institutes</w:t>
      </w:r>
    </w:p>
    <w:p w:rsidR="003027AD" w:rsidRDefault="000E279B">
      <w:pPr>
        <w:pStyle w:val="Body"/>
        <w:numPr>
          <w:ilvl w:val="0"/>
          <w:numId w:val="3"/>
        </w:numPr>
        <w:spacing w:after="100"/>
        <w:rPr>
          <w:sz w:val="24"/>
          <w:szCs w:val="24"/>
        </w:rPr>
      </w:pPr>
      <w:r>
        <w:rPr>
          <w:sz w:val="24"/>
          <w:szCs w:val="24"/>
        </w:rPr>
        <w:t>Implementa</w:t>
      </w:r>
      <w:r>
        <w:rPr>
          <w:sz w:val="24"/>
          <w:szCs w:val="24"/>
        </w:rPr>
        <w:t>tion of NTON standards for agroecological production, with a view on differentiating agroecological produce in the marketplace to generate a price premium</w:t>
      </w:r>
    </w:p>
    <w:p w:rsidR="003027AD" w:rsidRDefault="003027AD">
      <w:pPr>
        <w:pStyle w:val="Body"/>
        <w:spacing w:after="100"/>
        <w:rPr>
          <w:i/>
          <w:iCs/>
          <w:sz w:val="24"/>
          <w:szCs w:val="24"/>
        </w:rPr>
      </w:pPr>
    </w:p>
    <w:p w:rsidR="003027AD" w:rsidRDefault="000E279B">
      <w:pPr>
        <w:pStyle w:val="Body"/>
        <w:spacing w:after="100"/>
        <w:rPr>
          <w:b/>
          <w:bCs/>
          <w:i/>
          <w:iCs/>
          <w:sz w:val="24"/>
          <w:szCs w:val="24"/>
        </w:rPr>
      </w:pPr>
      <w:r>
        <w:rPr>
          <w:b/>
          <w:bCs/>
          <w:i/>
          <w:iCs/>
          <w:sz w:val="24"/>
          <w:szCs w:val="24"/>
        </w:rPr>
        <w:t>Other project-related activities</w:t>
      </w:r>
    </w:p>
    <w:p w:rsidR="003027AD" w:rsidRDefault="000E279B">
      <w:pPr>
        <w:pStyle w:val="Body"/>
        <w:spacing w:after="100"/>
        <w:jc w:val="both"/>
        <w:rPr>
          <w:sz w:val="24"/>
          <w:szCs w:val="24"/>
        </w:rPr>
      </w:pPr>
      <w:r>
        <w:rPr>
          <w:sz w:val="24"/>
          <w:szCs w:val="24"/>
        </w:rPr>
        <w:t xml:space="preserve">Results from this study </w:t>
      </w:r>
      <w:proofErr w:type="gramStart"/>
      <w:r>
        <w:rPr>
          <w:sz w:val="24"/>
          <w:szCs w:val="24"/>
        </w:rPr>
        <w:t>were presented</w:t>
      </w:r>
      <w:proofErr w:type="gramEnd"/>
      <w:r>
        <w:rPr>
          <w:sz w:val="24"/>
          <w:szCs w:val="24"/>
        </w:rPr>
        <w:t xml:space="preserve"> at two conferences in 2015. During the Second International Conference on Global Food Security, held in Ithaca, NY, USA from Oct. 11-14, 2015, a poster presentation on “Scaling up agroecology in Nicaragua: Linking sys</w:t>
      </w:r>
      <w:r>
        <w:rPr>
          <w:sz w:val="24"/>
          <w:szCs w:val="24"/>
        </w:rPr>
        <w:t>temic and individual determinants” was given. At the Conference on Tropical and Subtropical Agricultural and Natural Resource Management (Tropentag), held in Berlin, Germany from Sept. 15-18, 2015, an oral presentation on “Innovation platforms at work: Sup</w:t>
      </w:r>
      <w:r>
        <w:rPr>
          <w:sz w:val="24"/>
          <w:szCs w:val="24"/>
        </w:rPr>
        <w:t xml:space="preserve">porting the transition to agroecological farming in Nicaragua” was held. A short paper expounding on the presentation </w:t>
      </w:r>
      <w:proofErr w:type="gramStart"/>
      <w:r>
        <w:rPr>
          <w:sz w:val="24"/>
          <w:szCs w:val="24"/>
        </w:rPr>
        <w:t>has been published</w:t>
      </w:r>
      <w:proofErr w:type="gramEnd"/>
      <w:r>
        <w:rPr>
          <w:sz w:val="24"/>
          <w:szCs w:val="24"/>
        </w:rPr>
        <w:t xml:space="preserve"> in the </w:t>
      </w:r>
      <w:r>
        <w:rPr>
          <w:i/>
          <w:iCs/>
          <w:sz w:val="24"/>
          <w:szCs w:val="24"/>
        </w:rPr>
        <w:t>Proceedings of the 2015 Tropentag</w:t>
      </w:r>
      <w:r>
        <w:rPr>
          <w:sz w:val="24"/>
          <w:szCs w:val="24"/>
        </w:rPr>
        <w:t xml:space="preserve"> and is available online (</w:t>
      </w:r>
      <w:hyperlink r:id="rId19" w:history="1">
        <w:r>
          <w:rPr>
            <w:rStyle w:val="Hyperlink0"/>
            <w:sz w:val="24"/>
            <w:szCs w:val="24"/>
          </w:rPr>
          <w:t>www.tropentag.de/2015/abstracts/full/536.pdf</w:t>
        </w:r>
      </w:hyperlink>
      <w:r>
        <w:rPr>
          <w:sz w:val="24"/>
          <w:szCs w:val="24"/>
        </w:rPr>
        <w:t xml:space="preserve">).  </w:t>
      </w:r>
    </w:p>
    <w:p w:rsidR="003027AD" w:rsidRDefault="000E279B">
      <w:pPr>
        <w:pStyle w:val="Body"/>
        <w:spacing w:after="100"/>
        <w:jc w:val="both"/>
        <w:rPr>
          <w:sz w:val="24"/>
          <w:szCs w:val="24"/>
        </w:rPr>
      </w:pPr>
      <w:r>
        <w:rPr>
          <w:sz w:val="24"/>
          <w:szCs w:val="24"/>
        </w:rPr>
        <w:t xml:space="preserve">Three academic papers </w:t>
      </w:r>
      <w:proofErr w:type="gramStart"/>
      <w:r>
        <w:rPr>
          <w:sz w:val="24"/>
          <w:szCs w:val="24"/>
        </w:rPr>
        <w:t>are currently being written</w:t>
      </w:r>
      <w:proofErr w:type="gramEnd"/>
      <w:r>
        <w:rPr>
          <w:sz w:val="24"/>
          <w:szCs w:val="24"/>
        </w:rPr>
        <w:t xml:space="preserve"> based on results of this study, exploring different aspects of the scaling up of agroecology. All </w:t>
      </w:r>
      <w:proofErr w:type="gramStart"/>
      <w:r>
        <w:rPr>
          <w:sz w:val="24"/>
          <w:szCs w:val="24"/>
        </w:rPr>
        <w:t>will be submitted</w:t>
      </w:r>
      <w:proofErr w:type="gramEnd"/>
      <w:r>
        <w:rPr>
          <w:sz w:val="24"/>
          <w:szCs w:val="24"/>
        </w:rPr>
        <w:t xml:space="preserve"> to peer-reviewed journals b</w:t>
      </w:r>
      <w:r>
        <w:rPr>
          <w:sz w:val="24"/>
          <w:szCs w:val="24"/>
        </w:rPr>
        <w:t xml:space="preserve">y March 2016.   </w:t>
      </w:r>
    </w:p>
    <w:p w:rsidR="003027AD" w:rsidRDefault="003027AD">
      <w:pPr>
        <w:pStyle w:val="Body"/>
        <w:spacing w:after="100"/>
        <w:rPr>
          <w:i/>
          <w:iCs/>
          <w:sz w:val="24"/>
          <w:szCs w:val="24"/>
        </w:rPr>
      </w:pPr>
    </w:p>
    <w:p w:rsidR="003027AD" w:rsidRDefault="000E279B">
      <w:pPr>
        <w:pStyle w:val="Body"/>
        <w:spacing w:after="100"/>
        <w:rPr>
          <w:b/>
          <w:bCs/>
          <w:i/>
          <w:iCs/>
          <w:sz w:val="24"/>
          <w:szCs w:val="24"/>
        </w:rPr>
      </w:pPr>
      <w:r>
        <w:rPr>
          <w:b/>
          <w:bCs/>
          <w:i/>
          <w:iCs/>
          <w:sz w:val="24"/>
          <w:szCs w:val="24"/>
        </w:rPr>
        <w:t>Next steps</w:t>
      </w:r>
    </w:p>
    <w:p w:rsidR="003027AD" w:rsidRDefault="000E279B">
      <w:pPr>
        <w:pStyle w:val="Body"/>
        <w:spacing w:after="100"/>
        <w:jc w:val="both"/>
        <w:rPr>
          <w:sz w:val="24"/>
          <w:szCs w:val="24"/>
        </w:rPr>
      </w:pPr>
      <w:r>
        <w:rPr>
          <w:sz w:val="24"/>
          <w:szCs w:val="24"/>
        </w:rPr>
        <w:t xml:space="preserve">In early 2016, </w:t>
      </w:r>
      <w:proofErr w:type="gramStart"/>
      <w:r>
        <w:rPr>
          <w:sz w:val="24"/>
          <w:szCs w:val="24"/>
        </w:rPr>
        <w:t>results from this study will be reflected upon by study participants in a workshop to be held in Estelí</w:t>
      </w:r>
      <w:proofErr w:type="gramEnd"/>
      <w:r>
        <w:rPr>
          <w:sz w:val="24"/>
          <w:szCs w:val="24"/>
        </w:rPr>
        <w:t xml:space="preserve">. Further, similar studies </w:t>
      </w:r>
      <w:proofErr w:type="gramStart"/>
      <w:r>
        <w:rPr>
          <w:sz w:val="24"/>
          <w:szCs w:val="24"/>
        </w:rPr>
        <w:t>will be implemented</w:t>
      </w:r>
      <w:proofErr w:type="gramEnd"/>
      <w:r>
        <w:rPr>
          <w:sz w:val="24"/>
          <w:szCs w:val="24"/>
        </w:rPr>
        <w:t xml:space="preserve"> in Matagalpa in the ‘coffee’ territory, and in </w:t>
      </w:r>
      <w:proofErr w:type="spellStart"/>
      <w:r>
        <w:rPr>
          <w:sz w:val="24"/>
          <w:szCs w:val="24"/>
        </w:rPr>
        <w:t>Waslala</w:t>
      </w:r>
      <w:proofErr w:type="spellEnd"/>
      <w:r>
        <w:rPr>
          <w:sz w:val="24"/>
          <w:szCs w:val="24"/>
        </w:rPr>
        <w:t xml:space="preserve"> in the </w:t>
      </w:r>
      <w:r>
        <w:rPr>
          <w:sz w:val="24"/>
          <w:szCs w:val="24"/>
        </w:rPr>
        <w:t xml:space="preserve">‘cocoa’ territory, between April and September 2016. Results from all three studies will be explored for similarities and differences, and feed into two further academic papers, to </w:t>
      </w:r>
      <w:proofErr w:type="gramStart"/>
      <w:r>
        <w:rPr>
          <w:sz w:val="24"/>
          <w:szCs w:val="24"/>
        </w:rPr>
        <w:t>be written</w:t>
      </w:r>
      <w:proofErr w:type="gramEnd"/>
      <w:r>
        <w:rPr>
          <w:sz w:val="24"/>
          <w:szCs w:val="24"/>
        </w:rPr>
        <w:t xml:space="preserve"> in late 2016/early 2017.   </w:t>
      </w:r>
    </w:p>
    <w:p w:rsidR="000E279B" w:rsidRDefault="000E279B">
      <w:pPr>
        <w:pStyle w:val="Body"/>
        <w:spacing w:after="100"/>
        <w:jc w:val="both"/>
        <w:rPr>
          <w:sz w:val="24"/>
          <w:szCs w:val="24"/>
        </w:rPr>
      </w:pPr>
      <w:bookmarkStart w:id="0" w:name="_GoBack"/>
      <w:bookmarkEnd w:id="0"/>
    </w:p>
    <w:p w:rsidR="003027AD" w:rsidRDefault="003027AD">
      <w:pPr>
        <w:pStyle w:val="Body"/>
        <w:spacing w:after="100"/>
        <w:rPr>
          <w:i/>
          <w:iCs/>
          <w:sz w:val="24"/>
          <w:szCs w:val="24"/>
        </w:rPr>
      </w:pPr>
    </w:p>
    <w:p w:rsidR="000E279B" w:rsidRDefault="000E279B" w:rsidP="000E279B">
      <w:pPr>
        <w:pStyle w:val="Body"/>
        <w:spacing w:after="100"/>
        <w:rPr>
          <w:rFonts w:ascii="Times New Roman" w:hAnsi="Times New Roman" w:cs="Times New Roman"/>
          <w:sz w:val="24"/>
          <w:szCs w:val="24"/>
        </w:rPr>
      </w:pPr>
      <w:r>
        <w:rPr>
          <w:b/>
          <w:bCs/>
          <w:i/>
          <w:iCs/>
          <w:sz w:val="24"/>
          <w:szCs w:val="24"/>
        </w:rPr>
        <w:t>References</w:t>
      </w:r>
    </w:p>
    <w:p w:rsidR="000E279B" w:rsidRDefault="000E279B">
      <w:pPr>
        <w:widowControl w:val="0"/>
        <w:autoSpaceDE w:val="0"/>
        <w:autoSpaceDN w:val="0"/>
        <w:adjustRightInd w:val="0"/>
        <w:spacing w:after="140" w:line="288" w:lineRule="auto"/>
        <w:ind w:left="480" w:hanging="480"/>
      </w:pPr>
      <w:r>
        <w:t xml:space="preserve">Altieri, Miguel A., and Clara I. Nicholls. 2012. </w:t>
      </w:r>
      <w:r>
        <w:rPr>
          <w:i/>
          <w:iCs/>
        </w:rPr>
        <w:t>Agroecology Scaling up for Food Sovereignty and Resiliency</w:t>
      </w:r>
      <w:r>
        <w:t xml:space="preserve">. Edited by Eric </w:t>
      </w:r>
      <w:proofErr w:type="spellStart"/>
      <w:r>
        <w:t>Lichtfouse</w:t>
      </w:r>
      <w:proofErr w:type="spellEnd"/>
      <w:r>
        <w:t xml:space="preserve">. </w:t>
      </w:r>
      <w:r>
        <w:rPr>
          <w:i/>
          <w:iCs/>
        </w:rPr>
        <w:t>Sustainable Agriculture Reviews</w:t>
      </w:r>
      <w:r>
        <w:t>. Vol. 11. Sustainable Agriculture Reviews. Dordrecht: Springer Netherlands. https://doi.org/10.1007/978-94-007-5449-2.</w:t>
      </w:r>
    </w:p>
    <w:p w:rsidR="000E279B" w:rsidRDefault="000E279B">
      <w:pPr>
        <w:widowControl w:val="0"/>
        <w:autoSpaceDE w:val="0"/>
        <w:autoSpaceDN w:val="0"/>
        <w:adjustRightInd w:val="0"/>
        <w:spacing w:after="140" w:line="288" w:lineRule="auto"/>
        <w:ind w:left="480" w:hanging="480"/>
      </w:pPr>
      <w:r>
        <w:t xml:space="preserve">Price, Jennifer C., and Zoe </w:t>
      </w:r>
      <w:proofErr w:type="spellStart"/>
      <w:r>
        <w:t>Leviston</w:t>
      </w:r>
      <w:proofErr w:type="spellEnd"/>
      <w:r>
        <w:t xml:space="preserve">. 2014. “Predicting Pro-Environmental Agricultural Practices: The Social, Psychological and Contextual Influences on Land Management.” </w:t>
      </w:r>
      <w:r>
        <w:rPr>
          <w:i/>
          <w:iCs/>
        </w:rPr>
        <w:t>Journal of Rural Studies</w:t>
      </w:r>
      <w:r>
        <w:t xml:space="preserve"> 34 (C): 65–78. https://doi.org/10.1016/j.jrurstud.2013.10.001.</w:t>
      </w:r>
    </w:p>
    <w:p w:rsidR="000E279B" w:rsidRDefault="000E279B">
      <w:pPr>
        <w:widowControl w:val="0"/>
        <w:autoSpaceDE w:val="0"/>
        <w:autoSpaceDN w:val="0"/>
        <w:adjustRightInd w:val="0"/>
        <w:spacing w:after="140" w:line="288" w:lineRule="auto"/>
        <w:ind w:left="480" w:hanging="480"/>
      </w:pPr>
      <w:r>
        <w:t xml:space="preserve">Schultz, P. Wesley. 2000. “Empathizing with Nature: The Effects of Perspective Talking on Concern for Environmental Issues.” </w:t>
      </w:r>
      <w:r>
        <w:rPr>
          <w:i/>
          <w:iCs/>
        </w:rPr>
        <w:t>Journal of Social Issues</w:t>
      </w:r>
      <w:r>
        <w:t xml:space="preserve"> 56 (3): 391–406. https://doi.org/10.1111/0022-4537.00174.</w:t>
      </w:r>
    </w:p>
    <w:p w:rsidR="000E279B" w:rsidRDefault="000E279B">
      <w:pPr>
        <w:widowControl w:val="0"/>
        <w:autoSpaceDE w:val="0"/>
        <w:autoSpaceDN w:val="0"/>
        <w:adjustRightInd w:val="0"/>
        <w:spacing w:after="140" w:line="288" w:lineRule="auto"/>
        <w:ind w:left="480" w:hanging="480"/>
      </w:pPr>
      <w:proofErr w:type="spellStart"/>
      <w:r>
        <w:t>Schut</w:t>
      </w:r>
      <w:proofErr w:type="spellEnd"/>
      <w:r>
        <w:t xml:space="preserve">, Marc, Laurens Klerkx, </w:t>
      </w:r>
      <w:proofErr w:type="spellStart"/>
      <w:r>
        <w:t>Jonne</w:t>
      </w:r>
      <w:proofErr w:type="spellEnd"/>
      <w:r>
        <w:t xml:space="preserve"> </w:t>
      </w:r>
      <w:proofErr w:type="spellStart"/>
      <w:r>
        <w:t>Rodenburg</w:t>
      </w:r>
      <w:proofErr w:type="spellEnd"/>
      <w:r>
        <w:t xml:space="preserve">, </w:t>
      </w:r>
      <w:proofErr w:type="spellStart"/>
      <w:r>
        <w:t>Juma</w:t>
      </w:r>
      <w:proofErr w:type="spellEnd"/>
      <w:r>
        <w:t xml:space="preserve"> </w:t>
      </w:r>
      <w:proofErr w:type="spellStart"/>
      <w:r>
        <w:t>Kayeke</w:t>
      </w:r>
      <w:proofErr w:type="spellEnd"/>
      <w:r>
        <w:t xml:space="preserve">, Léonard C. </w:t>
      </w:r>
      <w:proofErr w:type="spellStart"/>
      <w:r>
        <w:t>Hinnou</w:t>
      </w:r>
      <w:proofErr w:type="spellEnd"/>
      <w:r>
        <w:t xml:space="preserve">, Cara M. </w:t>
      </w:r>
      <w:proofErr w:type="spellStart"/>
      <w:r>
        <w:t>Raboanarielina</w:t>
      </w:r>
      <w:proofErr w:type="spellEnd"/>
      <w:r>
        <w:t xml:space="preserve">, Patrice Y. </w:t>
      </w:r>
      <w:proofErr w:type="spellStart"/>
      <w:r>
        <w:t>Adegbola</w:t>
      </w:r>
      <w:proofErr w:type="spellEnd"/>
      <w:r>
        <w:t xml:space="preserve">, </w:t>
      </w:r>
      <w:proofErr w:type="spellStart"/>
      <w:r>
        <w:t>Aad</w:t>
      </w:r>
      <w:proofErr w:type="spellEnd"/>
      <w:r>
        <w:t xml:space="preserve"> van </w:t>
      </w:r>
      <w:proofErr w:type="spellStart"/>
      <w:r>
        <w:t>Ast</w:t>
      </w:r>
      <w:proofErr w:type="spellEnd"/>
      <w:r>
        <w:t xml:space="preserve">, and </w:t>
      </w:r>
      <w:proofErr w:type="spellStart"/>
      <w:r>
        <w:t>Lammert</w:t>
      </w:r>
      <w:proofErr w:type="spellEnd"/>
      <w:r>
        <w:t xml:space="preserve"> </w:t>
      </w:r>
      <w:proofErr w:type="spellStart"/>
      <w:r>
        <w:t>Bastiaans</w:t>
      </w:r>
      <w:proofErr w:type="spellEnd"/>
      <w:r>
        <w:t xml:space="preserve">. 2015. “RAAIS: Rapid Appraisal of Agricultural Innovation Systems (Part I). A Diagnostic Tool for Integrated Analysis of Complex Problems and Innovation Capacity.” </w:t>
      </w:r>
      <w:r>
        <w:rPr>
          <w:i/>
          <w:iCs/>
        </w:rPr>
        <w:t>Agricultural Systems</w:t>
      </w:r>
      <w:r>
        <w:t xml:space="preserve"> 132 (C): 1–11. https://doi.org/10.1016/j.agsy.2014.08.009.</w:t>
      </w:r>
    </w:p>
    <w:p w:rsidR="000E279B" w:rsidRDefault="000E279B">
      <w:pPr>
        <w:widowControl w:val="0"/>
        <w:autoSpaceDE w:val="0"/>
        <w:autoSpaceDN w:val="0"/>
        <w:adjustRightInd w:val="0"/>
        <w:spacing w:after="140" w:line="288" w:lineRule="auto"/>
        <w:ind w:left="480" w:hanging="480"/>
      </w:pPr>
      <w:proofErr w:type="spellStart"/>
      <w:r>
        <w:t>Slovic</w:t>
      </w:r>
      <w:proofErr w:type="spellEnd"/>
      <w:r>
        <w:t xml:space="preserve">, Paul. 1987. “Perception of Risk.” </w:t>
      </w:r>
      <w:r>
        <w:rPr>
          <w:i/>
          <w:iCs/>
        </w:rPr>
        <w:t>Science</w:t>
      </w:r>
      <w:r>
        <w:t xml:space="preserve"> 236 (4799): 280–85.</w:t>
      </w:r>
    </w:p>
    <w:p w:rsidR="000E279B" w:rsidRDefault="000E279B">
      <w:pPr>
        <w:widowControl w:val="0"/>
        <w:autoSpaceDE w:val="0"/>
        <w:autoSpaceDN w:val="0"/>
        <w:adjustRightInd w:val="0"/>
        <w:spacing w:after="140" w:line="288" w:lineRule="auto"/>
        <w:ind w:left="480" w:hanging="480"/>
      </w:pPr>
      <w:r>
        <w:t xml:space="preserve">Stern, Paul C. 2000. “Toward a Coherent Theory of Environmentally Significant Behavior.” </w:t>
      </w:r>
      <w:r>
        <w:rPr>
          <w:i/>
          <w:iCs/>
        </w:rPr>
        <w:t>Journal of Social Issues</w:t>
      </w:r>
      <w:r>
        <w:t xml:space="preserve"> 56 (3): 407–24. https://doi.org/10.1111/0022-4537.00175.</w:t>
      </w:r>
    </w:p>
    <w:p w:rsidR="003027AD" w:rsidRDefault="003027AD">
      <w:pPr>
        <w:pStyle w:val="Body"/>
        <w:spacing w:after="100"/>
        <w:jc w:val="both"/>
        <w:rPr>
          <w:smallCaps/>
          <w:sz w:val="24"/>
          <w:szCs w:val="24"/>
        </w:rPr>
      </w:pPr>
    </w:p>
    <w:p w:rsidR="003027AD" w:rsidRDefault="000E279B">
      <w:pPr>
        <w:pStyle w:val="Body"/>
        <w:spacing w:after="100"/>
        <w:jc w:val="both"/>
      </w:pPr>
      <w:r>
        <w:rPr>
          <w:rFonts w:ascii="Arial Unicode MS" w:hAnsi="Arial Unicode MS"/>
          <w:sz w:val="24"/>
          <w:szCs w:val="24"/>
        </w:rPr>
        <w:br w:type="page"/>
      </w:r>
    </w:p>
    <w:p w:rsidR="003027AD" w:rsidRDefault="003027AD">
      <w:pPr>
        <w:pStyle w:val="Body"/>
        <w:spacing w:after="100"/>
      </w:pPr>
    </w:p>
    <w:sectPr w:rsidR="003027AD">
      <w:headerReference w:type="default" r:id="rId20"/>
      <w:footerReference w:type="default" r:id="rId21"/>
      <w:pgSz w:w="12240" w:h="15840"/>
      <w:pgMar w:top="1440" w:right="1440" w:bottom="1440" w:left="1440" w:header="720" w:footer="86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0E279B">
      <w:r>
        <w:separator/>
      </w:r>
    </w:p>
  </w:endnote>
  <w:endnote w:type="continuationSeparator" w:id="0">
    <w:p w:rsidR="00000000" w:rsidRDefault="000E27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Unicode MS">
    <w:altName w:val="Malgun Gothic Semilight"/>
    <w:panose1 w:val="020B0604020202020204"/>
    <w:charset w:val="00"/>
    <w:family w:val="roman"/>
    <w:pitch w:val="default"/>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027AD" w:rsidRDefault="000E279B">
    <w:pPr>
      <w:pStyle w:val="HeaderFooter"/>
      <w:tabs>
        <w:tab w:val="clear" w:pos="9020"/>
        <w:tab w:val="center" w:pos="4680"/>
        <w:tab w:val="right" w:pos="9360"/>
      </w:tabs>
    </w:pPr>
    <w:r>
      <w:tab/>
    </w:r>
    <w:r>
      <w:tab/>
    </w:r>
    <w:r>
      <w:fldChar w:fldCharType="begin"/>
    </w:r>
    <w:r>
      <w:instrText xml:space="preserve"> PAGE </w:instrText>
    </w:r>
    <w:r>
      <w:fldChar w:fldCharType="separate"/>
    </w:r>
    <w:r>
      <w:rPr>
        <w:noProof/>
      </w:rPr>
      <w:t>10</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0E279B">
      <w:r>
        <w:separator/>
      </w:r>
    </w:p>
  </w:footnote>
  <w:footnote w:type="continuationSeparator" w:id="0">
    <w:p w:rsidR="00000000" w:rsidRDefault="000E279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027AD" w:rsidRDefault="000E279B">
    <w:pPr>
      <w:pStyle w:val="HeaderFooter"/>
      <w:tabs>
        <w:tab w:val="clear" w:pos="9020"/>
        <w:tab w:val="center" w:pos="4680"/>
        <w:tab w:val="right" w:pos="9360"/>
      </w:tabs>
    </w:pPr>
    <w:r>
      <w:t>Technical report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7AE555B"/>
    <w:multiLevelType w:val="hybridMultilevel"/>
    <w:tmpl w:val="0A2EC0D2"/>
    <w:numStyleLink w:val="Dash"/>
  </w:abstractNum>
  <w:abstractNum w:abstractNumId="1" w15:restartNumberingAfterBreak="0">
    <w:nsid w:val="4A5A35E0"/>
    <w:multiLevelType w:val="hybridMultilevel"/>
    <w:tmpl w:val="0A2EC0D2"/>
    <w:styleLink w:val="Dash"/>
    <w:lvl w:ilvl="0" w:tplc="AD24D544">
      <w:start w:val="1"/>
      <w:numFmt w:val="bullet"/>
      <w:lvlText w:val="-"/>
      <w:lvlJc w:val="left"/>
      <w:pPr>
        <w:ind w:left="262" w:hanging="262"/>
      </w:pPr>
      <w:rPr>
        <w:rFonts w:hAnsi="Arial Unicode MS"/>
        <w:i/>
        <w:iCs/>
        <w:caps w:val="0"/>
        <w:smallCaps w:val="0"/>
        <w:strike w:val="0"/>
        <w:dstrike w:val="0"/>
        <w:outline w:val="0"/>
        <w:emboss w:val="0"/>
        <w:imprint w:val="0"/>
        <w:spacing w:val="0"/>
        <w:w w:val="100"/>
        <w:kern w:val="0"/>
        <w:position w:val="4"/>
        <w:sz w:val="29"/>
        <w:szCs w:val="29"/>
        <w:highlight w:val="none"/>
        <w:vertAlign w:val="baseline"/>
      </w:rPr>
    </w:lvl>
    <w:lvl w:ilvl="1" w:tplc="30186AC6">
      <w:start w:val="1"/>
      <w:numFmt w:val="bullet"/>
      <w:lvlText w:val="-"/>
      <w:lvlJc w:val="left"/>
      <w:pPr>
        <w:ind w:left="502" w:hanging="262"/>
      </w:pPr>
      <w:rPr>
        <w:rFonts w:hAnsi="Arial Unicode MS"/>
        <w:i/>
        <w:iCs/>
        <w:caps w:val="0"/>
        <w:smallCaps w:val="0"/>
        <w:strike w:val="0"/>
        <w:dstrike w:val="0"/>
        <w:outline w:val="0"/>
        <w:emboss w:val="0"/>
        <w:imprint w:val="0"/>
        <w:spacing w:val="0"/>
        <w:w w:val="100"/>
        <w:kern w:val="0"/>
        <w:position w:val="4"/>
        <w:sz w:val="29"/>
        <w:szCs w:val="29"/>
        <w:highlight w:val="none"/>
        <w:vertAlign w:val="baseline"/>
      </w:rPr>
    </w:lvl>
    <w:lvl w:ilvl="2" w:tplc="BF2206E6">
      <w:start w:val="1"/>
      <w:numFmt w:val="bullet"/>
      <w:lvlText w:val="-"/>
      <w:lvlJc w:val="left"/>
      <w:pPr>
        <w:ind w:left="742" w:hanging="262"/>
      </w:pPr>
      <w:rPr>
        <w:rFonts w:hAnsi="Arial Unicode MS"/>
        <w:i/>
        <w:iCs/>
        <w:caps w:val="0"/>
        <w:smallCaps w:val="0"/>
        <w:strike w:val="0"/>
        <w:dstrike w:val="0"/>
        <w:outline w:val="0"/>
        <w:emboss w:val="0"/>
        <w:imprint w:val="0"/>
        <w:spacing w:val="0"/>
        <w:w w:val="100"/>
        <w:kern w:val="0"/>
        <w:position w:val="4"/>
        <w:sz w:val="29"/>
        <w:szCs w:val="29"/>
        <w:highlight w:val="none"/>
        <w:vertAlign w:val="baseline"/>
      </w:rPr>
    </w:lvl>
    <w:lvl w:ilvl="3" w:tplc="00D079EC">
      <w:start w:val="1"/>
      <w:numFmt w:val="bullet"/>
      <w:lvlText w:val="-"/>
      <w:lvlJc w:val="left"/>
      <w:pPr>
        <w:ind w:left="982" w:hanging="262"/>
      </w:pPr>
      <w:rPr>
        <w:rFonts w:hAnsi="Arial Unicode MS"/>
        <w:i/>
        <w:iCs/>
        <w:caps w:val="0"/>
        <w:smallCaps w:val="0"/>
        <w:strike w:val="0"/>
        <w:dstrike w:val="0"/>
        <w:outline w:val="0"/>
        <w:emboss w:val="0"/>
        <w:imprint w:val="0"/>
        <w:spacing w:val="0"/>
        <w:w w:val="100"/>
        <w:kern w:val="0"/>
        <w:position w:val="4"/>
        <w:sz w:val="29"/>
        <w:szCs w:val="29"/>
        <w:highlight w:val="none"/>
        <w:vertAlign w:val="baseline"/>
      </w:rPr>
    </w:lvl>
    <w:lvl w:ilvl="4" w:tplc="B7826D56">
      <w:start w:val="1"/>
      <w:numFmt w:val="bullet"/>
      <w:lvlText w:val="-"/>
      <w:lvlJc w:val="left"/>
      <w:pPr>
        <w:ind w:left="1222" w:hanging="262"/>
      </w:pPr>
      <w:rPr>
        <w:rFonts w:hAnsi="Arial Unicode MS"/>
        <w:i/>
        <w:iCs/>
        <w:caps w:val="0"/>
        <w:smallCaps w:val="0"/>
        <w:strike w:val="0"/>
        <w:dstrike w:val="0"/>
        <w:outline w:val="0"/>
        <w:emboss w:val="0"/>
        <w:imprint w:val="0"/>
        <w:spacing w:val="0"/>
        <w:w w:val="100"/>
        <w:kern w:val="0"/>
        <w:position w:val="4"/>
        <w:sz w:val="29"/>
        <w:szCs w:val="29"/>
        <w:highlight w:val="none"/>
        <w:vertAlign w:val="baseline"/>
      </w:rPr>
    </w:lvl>
    <w:lvl w:ilvl="5" w:tplc="1122B2F4">
      <w:start w:val="1"/>
      <w:numFmt w:val="bullet"/>
      <w:lvlText w:val="-"/>
      <w:lvlJc w:val="left"/>
      <w:pPr>
        <w:ind w:left="1462" w:hanging="262"/>
      </w:pPr>
      <w:rPr>
        <w:rFonts w:hAnsi="Arial Unicode MS"/>
        <w:i/>
        <w:iCs/>
        <w:caps w:val="0"/>
        <w:smallCaps w:val="0"/>
        <w:strike w:val="0"/>
        <w:dstrike w:val="0"/>
        <w:outline w:val="0"/>
        <w:emboss w:val="0"/>
        <w:imprint w:val="0"/>
        <w:spacing w:val="0"/>
        <w:w w:val="100"/>
        <w:kern w:val="0"/>
        <w:position w:val="4"/>
        <w:sz w:val="29"/>
        <w:szCs w:val="29"/>
        <w:highlight w:val="none"/>
        <w:vertAlign w:val="baseline"/>
      </w:rPr>
    </w:lvl>
    <w:lvl w:ilvl="6" w:tplc="A95EF3DA">
      <w:start w:val="1"/>
      <w:numFmt w:val="bullet"/>
      <w:lvlText w:val="-"/>
      <w:lvlJc w:val="left"/>
      <w:pPr>
        <w:ind w:left="1702" w:hanging="262"/>
      </w:pPr>
      <w:rPr>
        <w:rFonts w:hAnsi="Arial Unicode MS"/>
        <w:i/>
        <w:iCs/>
        <w:caps w:val="0"/>
        <w:smallCaps w:val="0"/>
        <w:strike w:val="0"/>
        <w:dstrike w:val="0"/>
        <w:outline w:val="0"/>
        <w:emboss w:val="0"/>
        <w:imprint w:val="0"/>
        <w:spacing w:val="0"/>
        <w:w w:val="100"/>
        <w:kern w:val="0"/>
        <w:position w:val="4"/>
        <w:sz w:val="29"/>
        <w:szCs w:val="29"/>
        <w:highlight w:val="none"/>
        <w:vertAlign w:val="baseline"/>
      </w:rPr>
    </w:lvl>
    <w:lvl w:ilvl="7" w:tplc="ACAA8DAC">
      <w:start w:val="1"/>
      <w:numFmt w:val="bullet"/>
      <w:lvlText w:val="-"/>
      <w:lvlJc w:val="left"/>
      <w:pPr>
        <w:ind w:left="1942" w:hanging="262"/>
      </w:pPr>
      <w:rPr>
        <w:rFonts w:hAnsi="Arial Unicode MS"/>
        <w:i/>
        <w:iCs/>
        <w:caps w:val="0"/>
        <w:smallCaps w:val="0"/>
        <w:strike w:val="0"/>
        <w:dstrike w:val="0"/>
        <w:outline w:val="0"/>
        <w:emboss w:val="0"/>
        <w:imprint w:val="0"/>
        <w:spacing w:val="0"/>
        <w:w w:val="100"/>
        <w:kern w:val="0"/>
        <w:position w:val="4"/>
        <w:sz w:val="29"/>
        <w:szCs w:val="29"/>
        <w:highlight w:val="none"/>
        <w:vertAlign w:val="baseline"/>
      </w:rPr>
    </w:lvl>
    <w:lvl w:ilvl="8" w:tplc="95627980">
      <w:start w:val="1"/>
      <w:numFmt w:val="bullet"/>
      <w:lvlText w:val="-"/>
      <w:lvlJc w:val="left"/>
      <w:pPr>
        <w:ind w:left="2182" w:hanging="262"/>
      </w:pPr>
      <w:rPr>
        <w:rFonts w:hAnsi="Arial Unicode MS"/>
        <w:i/>
        <w:iCs/>
        <w:caps w:val="0"/>
        <w:smallCaps w:val="0"/>
        <w:strike w:val="0"/>
        <w:dstrike w:val="0"/>
        <w:outline w:val="0"/>
        <w:emboss w:val="0"/>
        <w:imprint w:val="0"/>
        <w:spacing w:val="0"/>
        <w:w w:val="100"/>
        <w:kern w:val="0"/>
        <w:position w:val="4"/>
        <w:sz w:val="29"/>
        <w:szCs w:val="29"/>
        <w:highlight w:val="none"/>
        <w:vertAlign w:val="baseline"/>
      </w:rPr>
    </w:lvl>
  </w:abstractNum>
  <w:num w:numId="1">
    <w:abstractNumId w:val="1"/>
  </w:num>
  <w:num w:numId="2">
    <w:abstractNumId w:val="0"/>
  </w:num>
  <w:num w:numId="3">
    <w:abstractNumId w:val="0"/>
    <w:lvlOverride w:ilvl="0">
      <w:lvl w:ilvl="0" w:tplc="FC46C906">
        <w:start w:val="1"/>
        <w:numFmt w:val="bullet"/>
        <w:lvlText w:val="-"/>
        <w:lvlJc w:val="left"/>
        <w:pPr>
          <w:ind w:left="262" w:hanging="262"/>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1">
      <w:lvl w:ilvl="1" w:tplc="76FE8F44">
        <w:start w:val="1"/>
        <w:numFmt w:val="bullet"/>
        <w:lvlText w:val="-"/>
        <w:lvlJc w:val="left"/>
        <w:pPr>
          <w:ind w:left="502" w:hanging="262"/>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2">
      <w:lvl w:ilvl="2" w:tplc="BE94AF22">
        <w:start w:val="1"/>
        <w:numFmt w:val="bullet"/>
        <w:lvlText w:val="-"/>
        <w:lvlJc w:val="left"/>
        <w:pPr>
          <w:ind w:left="742" w:hanging="262"/>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3">
      <w:lvl w:ilvl="3" w:tplc="3CD4DAE4">
        <w:start w:val="1"/>
        <w:numFmt w:val="bullet"/>
        <w:lvlText w:val="-"/>
        <w:lvlJc w:val="left"/>
        <w:pPr>
          <w:ind w:left="982" w:hanging="262"/>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4">
      <w:lvl w:ilvl="4" w:tplc="006221A8">
        <w:start w:val="1"/>
        <w:numFmt w:val="bullet"/>
        <w:lvlText w:val="-"/>
        <w:lvlJc w:val="left"/>
        <w:pPr>
          <w:ind w:left="1222" w:hanging="262"/>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5">
      <w:lvl w:ilvl="5" w:tplc="78B0561E">
        <w:start w:val="1"/>
        <w:numFmt w:val="bullet"/>
        <w:lvlText w:val="-"/>
        <w:lvlJc w:val="left"/>
        <w:pPr>
          <w:ind w:left="1462" w:hanging="262"/>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6">
      <w:lvl w:ilvl="6" w:tplc="0D04AB4C">
        <w:start w:val="1"/>
        <w:numFmt w:val="bullet"/>
        <w:lvlText w:val="-"/>
        <w:lvlJc w:val="left"/>
        <w:pPr>
          <w:ind w:left="1702" w:hanging="262"/>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7">
      <w:lvl w:ilvl="7" w:tplc="19E6ECE0">
        <w:start w:val="1"/>
        <w:numFmt w:val="bullet"/>
        <w:lvlText w:val="-"/>
        <w:lvlJc w:val="left"/>
        <w:pPr>
          <w:ind w:left="1942" w:hanging="262"/>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lvlOverride w:ilvl="8">
      <w:lvl w:ilvl="8" w:tplc="D2988E9C">
        <w:start w:val="1"/>
        <w:numFmt w:val="bullet"/>
        <w:lvlText w:val="-"/>
        <w:lvlJc w:val="left"/>
        <w:pPr>
          <w:ind w:left="2182" w:hanging="262"/>
        </w:pPr>
        <w:rPr>
          <w:rFonts w:hAnsi="Arial Unicode MS"/>
          <w:caps w:val="0"/>
          <w:smallCaps w:val="0"/>
          <w:strike w:val="0"/>
          <w:dstrike w:val="0"/>
          <w:outline w:val="0"/>
          <w:emboss w:val="0"/>
          <w:imprint w:val="0"/>
          <w:spacing w:val="0"/>
          <w:w w:val="100"/>
          <w:kern w:val="0"/>
          <w:position w:val="4"/>
          <w:sz w:val="29"/>
          <w:szCs w:val="29"/>
          <w:highlight w:val="none"/>
          <w:vertAlign w:val="baseline"/>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27AD"/>
    <w:rsid w:val="000E279B"/>
    <w:rsid w:val="003027AD"/>
    <w:rsid w:val="00484724"/>
    <w:rsid w:val="00DC1C2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597C67"/>
  <w15:docId w15:val="{AB9BE57A-4F14-490B-BE8C-ED94710ED3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Helvetica" w:cs="Arial Unicode MS"/>
      <w:color w:val="000000"/>
      <w:sz w:val="24"/>
      <w:szCs w:val="24"/>
      <w:lang w:val="en-US"/>
    </w:rPr>
  </w:style>
  <w:style w:type="paragraph" w:customStyle="1" w:styleId="Body">
    <w:name w:val="Body"/>
    <w:rPr>
      <w:rFonts w:ascii="Helvetica" w:hAnsi="Helvetica" w:cs="Arial Unicode MS"/>
      <w:color w:val="000000"/>
      <w:sz w:val="22"/>
      <w:szCs w:val="22"/>
      <w:lang w:val="en-US"/>
    </w:rPr>
  </w:style>
  <w:style w:type="paragraph" w:customStyle="1" w:styleId="TableStyle1">
    <w:name w:val="Table Style 1"/>
    <w:rPr>
      <w:rFonts w:ascii="Helvetica" w:eastAsia="Helvetica" w:hAnsi="Helvetica" w:cs="Helvetica"/>
      <w:b/>
      <w:bCs/>
      <w:color w:val="000000"/>
    </w:rPr>
  </w:style>
  <w:style w:type="paragraph" w:customStyle="1" w:styleId="TableStyle2">
    <w:name w:val="Table Style 2"/>
    <w:rPr>
      <w:rFonts w:ascii="Helvetica" w:eastAsia="Helvetica" w:hAnsi="Helvetica" w:cs="Helvetica"/>
      <w:color w:val="000000"/>
    </w:rPr>
  </w:style>
  <w:style w:type="paragraph" w:customStyle="1" w:styleId="TableTitle1">
    <w:name w:val="Table Title 1"/>
    <w:pPr>
      <w:jc w:val="center"/>
    </w:pPr>
    <w:rPr>
      <w:rFonts w:ascii="Helvetica" w:eastAsia="Helvetica" w:hAnsi="Helvetica" w:cs="Helvetica"/>
      <w:color w:val="000000"/>
      <w:sz w:val="24"/>
      <w:szCs w:val="24"/>
    </w:rPr>
  </w:style>
  <w:style w:type="paragraph" w:customStyle="1" w:styleId="BodyA">
    <w:name w:val="Body A"/>
    <w:pPr>
      <w:jc w:val="both"/>
    </w:pPr>
    <w:rPr>
      <w:rFonts w:cs="Arial Unicode MS"/>
      <w:color w:val="000000"/>
      <w:sz w:val="24"/>
      <w:szCs w:val="24"/>
      <w:u w:color="000000"/>
      <w:lang w:val="en-US"/>
    </w:rPr>
  </w:style>
  <w:style w:type="paragraph" w:customStyle="1" w:styleId="BodyB">
    <w:name w:val="Body B"/>
    <w:rPr>
      <w:rFonts w:cs="Arial Unicode MS"/>
      <w:color w:val="000000"/>
      <w:sz w:val="24"/>
      <w:szCs w:val="24"/>
      <w:u w:color="000000"/>
      <w:lang w:val="en-US"/>
    </w:rPr>
  </w:style>
  <w:style w:type="numbering" w:customStyle="1" w:styleId="Dash">
    <w:name w:val="Dash"/>
    <w:pPr>
      <w:numPr>
        <w:numId w:val="1"/>
      </w:numPr>
    </w:pPr>
  </w:style>
  <w:style w:type="character" w:customStyle="1" w:styleId="Hyperlink0">
    <w:name w:val="Hyperlink.0"/>
    <w:basedOn w:val="Hyperlink"/>
    <w:rPr>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2.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hyperlink" Target="http://www.tropentag.de/2015/abstracts/full/536.pdf"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Arbeitsblat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Arbeitsblat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Arbeitsblat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en-US"/>
  <c:roundedCorners val="0"/>
  <c:style val="2"/>
  <c:chart>
    <c:autoTitleDeleted val="1"/>
    <c:plotArea>
      <c:layout>
        <c:manualLayout>
          <c:layoutTarget val="inner"/>
          <c:xMode val="edge"/>
          <c:yMode val="edge"/>
          <c:x val="0.18346699999999999"/>
          <c:y val="0.160997"/>
          <c:w val="0.77513699999999996"/>
          <c:h val="0.65088699999999999"/>
        </c:manualLayout>
      </c:layout>
      <c:barChart>
        <c:barDir val="bar"/>
        <c:grouping val="stacked"/>
        <c:varyColors val="0"/>
        <c:ser>
          <c:idx val="0"/>
          <c:order val="0"/>
          <c:tx>
            <c:strRef>
              <c:f>Sheet1!$A$2</c:f>
              <c:strCache>
                <c:ptCount val="1"/>
                <c:pt idx="0">
                  <c:v>&lt;20 Yrs</c:v>
                </c:pt>
              </c:strCache>
            </c:strRef>
          </c:tx>
          <c:spPr>
            <a:solidFill>
              <a:srgbClr val="858685"/>
            </a:solidFill>
            <a:ln w="12700" cap="flat">
              <a:noFill/>
              <a:miter lim="400000"/>
            </a:ln>
            <a:effectLst/>
          </c:spPr>
          <c:invertIfNegative val="0"/>
          <c:dLbls>
            <c:numFmt formatCode="#,##0%" sourceLinked="0"/>
            <c:spPr>
              <a:noFill/>
              <a:ln>
                <a:noFill/>
              </a:ln>
              <a:effectLst/>
            </c:spPr>
            <c:txPr>
              <a:bodyPr/>
              <a:lstStyle/>
              <a:p>
                <a:pPr>
                  <a:defRPr sz="600" b="0" i="0" u="none" strike="noStrike">
                    <a:solidFill>
                      <a:srgbClr val="FFFFFF"/>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Sheet1!$B$1:$D$1</c:f>
              <c:strCache>
                <c:ptCount val="3"/>
                <c:pt idx="0">
                  <c:v>Age (N = 121, 100%)</c:v>
                </c:pt>
                <c:pt idx="1">
                  <c:v>Female (N=70, 57,9%)</c:v>
                </c:pt>
                <c:pt idx="2">
                  <c:v>Male (N = 51, 42,1%)</c:v>
                </c:pt>
              </c:strCache>
            </c:strRef>
          </c:cat>
          <c:val>
            <c:numRef>
              <c:f>Sheet1!$B$2:$D$2</c:f>
              <c:numCache>
                <c:formatCode>General</c:formatCode>
                <c:ptCount val="3"/>
                <c:pt idx="0">
                  <c:v>0.124</c:v>
                </c:pt>
                <c:pt idx="1">
                  <c:v>0.11600000000000001</c:v>
                </c:pt>
                <c:pt idx="2">
                  <c:v>0.13700000000000001</c:v>
                </c:pt>
              </c:numCache>
            </c:numRef>
          </c:val>
          <c:extLst>
            <c:ext xmlns:c16="http://schemas.microsoft.com/office/drawing/2014/chart" uri="{C3380CC4-5D6E-409C-BE32-E72D297353CC}">
              <c16:uniqueId val="{00000000-45D8-46F1-AC73-DDA25A28FF51}"/>
            </c:ext>
          </c:extLst>
        </c:ser>
        <c:ser>
          <c:idx val="1"/>
          <c:order val="1"/>
          <c:tx>
            <c:strRef>
              <c:f>Sheet1!$A$3</c:f>
              <c:strCache>
                <c:ptCount val="1"/>
                <c:pt idx="0">
                  <c:v>21-30 Yrs</c:v>
                </c:pt>
              </c:strCache>
            </c:strRef>
          </c:tx>
          <c:spPr>
            <a:solidFill>
              <a:srgbClr val="CCCDCB"/>
            </a:solidFill>
            <a:ln w="12700" cap="flat">
              <a:noFill/>
              <a:miter lim="400000"/>
            </a:ln>
            <a:effectLst/>
          </c:spPr>
          <c:invertIfNegative val="0"/>
          <c:dLbls>
            <c:numFmt formatCode="#,##0%" sourceLinked="0"/>
            <c:spPr>
              <a:noFill/>
              <a:ln>
                <a:noFill/>
              </a:ln>
              <a:effectLst/>
            </c:spPr>
            <c:txPr>
              <a:bodyPr/>
              <a:lstStyle/>
              <a:p>
                <a:pPr>
                  <a:defRPr sz="600" b="0" i="0" u="none" strike="noStrike">
                    <a:solidFill>
                      <a:srgbClr val="000000"/>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Sheet1!$B$1:$D$1</c:f>
              <c:strCache>
                <c:ptCount val="3"/>
                <c:pt idx="0">
                  <c:v>Age (N = 121, 100%)</c:v>
                </c:pt>
                <c:pt idx="1">
                  <c:v>Female (N=70, 57,9%)</c:v>
                </c:pt>
                <c:pt idx="2">
                  <c:v>Male (N = 51, 42,1%)</c:v>
                </c:pt>
              </c:strCache>
            </c:strRef>
          </c:cat>
          <c:val>
            <c:numRef>
              <c:f>Sheet1!$B$3:$D$3</c:f>
              <c:numCache>
                <c:formatCode>General</c:formatCode>
                <c:ptCount val="3"/>
                <c:pt idx="0">
                  <c:v>0.28899999999999998</c:v>
                </c:pt>
                <c:pt idx="1">
                  <c:v>0.30399999999999999</c:v>
                </c:pt>
                <c:pt idx="2">
                  <c:v>0.255</c:v>
                </c:pt>
              </c:numCache>
            </c:numRef>
          </c:val>
          <c:extLst>
            <c:ext xmlns:c16="http://schemas.microsoft.com/office/drawing/2014/chart" uri="{C3380CC4-5D6E-409C-BE32-E72D297353CC}">
              <c16:uniqueId val="{00000001-45D8-46F1-AC73-DDA25A28FF51}"/>
            </c:ext>
          </c:extLst>
        </c:ser>
        <c:ser>
          <c:idx val="2"/>
          <c:order val="2"/>
          <c:tx>
            <c:strRef>
              <c:f>Sheet1!$A$4</c:f>
              <c:strCache>
                <c:ptCount val="1"/>
                <c:pt idx="0">
                  <c:v>31-40 Yrs</c:v>
                </c:pt>
              </c:strCache>
            </c:strRef>
          </c:tx>
          <c:spPr>
            <a:solidFill>
              <a:srgbClr val="3C3D3C"/>
            </a:solidFill>
            <a:ln w="12700" cap="flat">
              <a:noFill/>
              <a:miter lim="400000"/>
            </a:ln>
            <a:effectLst/>
          </c:spPr>
          <c:invertIfNegative val="0"/>
          <c:dLbls>
            <c:numFmt formatCode="#,##0%" sourceLinked="0"/>
            <c:spPr>
              <a:noFill/>
              <a:ln>
                <a:noFill/>
              </a:ln>
              <a:effectLst/>
            </c:spPr>
            <c:txPr>
              <a:bodyPr/>
              <a:lstStyle/>
              <a:p>
                <a:pPr>
                  <a:defRPr sz="600" b="0" i="0" u="none" strike="noStrike">
                    <a:solidFill>
                      <a:srgbClr val="FFFFFF"/>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Sheet1!$B$1:$D$1</c:f>
              <c:strCache>
                <c:ptCount val="3"/>
                <c:pt idx="0">
                  <c:v>Age (N = 121, 100%)</c:v>
                </c:pt>
                <c:pt idx="1">
                  <c:v>Female (N=70, 57,9%)</c:v>
                </c:pt>
                <c:pt idx="2">
                  <c:v>Male (N = 51, 42,1%)</c:v>
                </c:pt>
              </c:strCache>
            </c:strRef>
          </c:cat>
          <c:val>
            <c:numRef>
              <c:f>Sheet1!$B$4:$D$4</c:f>
              <c:numCache>
                <c:formatCode>General</c:formatCode>
                <c:ptCount val="3"/>
                <c:pt idx="0">
                  <c:v>0.19</c:v>
                </c:pt>
                <c:pt idx="1">
                  <c:v>0.188</c:v>
                </c:pt>
                <c:pt idx="2">
                  <c:v>0.19600000000000001</c:v>
                </c:pt>
              </c:numCache>
            </c:numRef>
          </c:val>
          <c:extLst>
            <c:ext xmlns:c16="http://schemas.microsoft.com/office/drawing/2014/chart" uri="{C3380CC4-5D6E-409C-BE32-E72D297353CC}">
              <c16:uniqueId val="{00000002-45D8-46F1-AC73-DDA25A28FF51}"/>
            </c:ext>
          </c:extLst>
        </c:ser>
        <c:ser>
          <c:idx val="3"/>
          <c:order val="3"/>
          <c:tx>
            <c:strRef>
              <c:f>Sheet1!$A$5</c:f>
              <c:strCache>
                <c:ptCount val="1"/>
                <c:pt idx="0">
                  <c:v>41-50 Yrs</c:v>
                </c:pt>
              </c:strCache>
            </c:strRef>
          </c:tx>
          <c:spPr>
            <a:solidFill>
              <a:srgbClr val="9E9F9E"/>
            </a:solidFill>
            <a:ln w="12700" cap="flat">
              <a:noFill/>
              <a:miter lim="400000"/>
            </a:ln>
            <a:effectLst/>
          </c:spPr>
          <c:invertIfNegative val="0"/>
          <c:dLbls>
            <c:numFmt formatCode="#,##0%" sourceLinked="0"/>
            <c:spPr>
              <a:noFill/>
              <a:ln>
                <a:noFill/>
              </a:ln>
              <a:effectLst/>
            </c:spPr>
            <c:txPr>
              <a:bodyPr/>
              <a:lstStyle/>
              <a:p>
                <a:pPr>
                  <a:defRPr sz="600" b="0" i="0" u="none" strike="noStrike">
                    <a:solidFill>
                      <a:srgbClr val="FFFFFF"/>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Sheet1!$B$1:$D$1</c:f>
              <c:strCache>
                <c:ptCount val="3"/>
                <c:pt idx="0">
                  <c:v>Age (N = 121, 100%)</c:v>
                </c:pt>
                <c:pt idx="1">
                  <c:v>Female (N=70, 57,9%)</c:v>
                </c:pt>
                <c:pt idx="2">
                  <c:v>Male (N = 51, 42,1%)</c:v>
                </c:pt>
              </c:strCache>
            </c:strRef>
          </c:cat>
          <c:val>
            <c:numRef>
              <c:f>Sheet1!$B$5:$D$5</c:f>
              <c:numCache>
                <c:formatCode>General</c:formatCode>
                <c:ptCount val="3"/>
                <c:pt idx="0">
                  <c:v>0.17399999999999999</c:v>
                </c:pt>
                <c:pt idx="1">
                  <c:v>0.17399999999999999</c:v>
                </c:pt>
                <c:pt idx="2">
                  <c:v>0.17699999999999999</c:v>
                </c:pt>
              </c:numCache>
            </c:numRef>
          </c:val>
          <c:extLst>
            <c:ext xmlns:c16="http://schemas.microsoft.com/office/drawing/2014/chart" uri="{C3380CC4-5D6E-409C-BE32-E72D297353CC}">
              <c16:uniqueId val="{00000003-45D8-46F1-AC73-DDA25A28FF51}"/>
            </c:ext>
          </c:extLst>
        </c:ser>
        <c:ser>
          <c:idx val="4"/>
          <c:order val="4"/>
          <c:tx>
            <c:strRef>
              <c:f>Sheet1!$A$6</c:f>
              <c:strCache>
                <c:ptCount val="1"/>
                <c:pt idx="0">
                  <c:v>&gt;50 Yrs</c:v>
                </c:pt>
              </c:strCache>
            </c:strRef>
          </c:tx>
          <c:spPr>
            <a:solidFill>
              <a:srgbClr val="000000"/>
            </a:solidFill>
            <a:ln w="12700" cap="flat">
              <a:noFill/>
              <a:miter lim="400000"/>
            </a:ln>
            <a:effectLst/>
          </c:spPr>
          <c:invertIfNegative val="0"/>
          <c:dLbls>
            <c:numFmt formatCode="#,##0%" sourceLinked="0"/>
            <c:spPr>
              <a:noFill/>
              <a:ln>
                <a:noFill/>
              </a:ln>
              <a:effectLst/>
            </c:spPr>
            <c:txPr>
              <a:bodyPr/>
              <a:lstStyle/>
              <a:p>
                <a:pPr>
                  <a:defRPr sz="600" b="0" i="0" u="none" strike="noStrike">
                    <a:solidFill>
                      <a:srgbClr val="FFFFFF"/>
                    </a:solidFill>
                    <a:latin typeface="Helvetica"/>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Sheet1!$B$1:$D$1</c:f>
              <c:strCache>
                <c:ptCount val="3"/>
                <c:pt idx="0">
                  <c:v>Age (N = 121, 100%)</c:v>
                </c:pt>
                <c:pt idx="1">
                  <c:v>Female (N=70, 57,9%)</c:v>
                </c:pt>
                <c:pt idx="2">
                  <c:v>Male (N = 51, 42,1%)</c:v>
                </c:pt>
              </c:strCache>
            </c:strRef>
          </c:cat>
          <c:val>
            <c:numRef>
              <c:f>Sheet1!$B$6:$D$6</c:f>
              <c:numCache>
                <c:formatCode>General</c:formatCode>
                <c:ptCount val="3"/>
                <c:pt idx="0">
                  <c:v>0.215</c:v>
                </c:pt>
                <c:pt idx="1">
                  <c:v>0.20300000000000001</c:v>
                </c:pt>
                <c:pt idx="2">
                  <c:v>0.23499999999999999</c:v>
                </c:pt>
              </c:numCache>
            </c:numRef>
          </c:val>
          <c:extLst>
            <c:ext xmlns:c16="http://schemas.microsoft.com/office/drawing/2014/chart" uri="{C3380CC4-5D6E-409C-BE32-E72D297353CC}">
              <c16:uniqueId val="{00000004-45D8-46F1-AC73-DDA25A28FF51}"/>
            </c:ext>
          </c:extLst>
        </c:ser>
        <c:ser>
          <c:idx val="5"/>
          <c:order val="5"/>
          <c:tx>
            <c:strRef>
              <c:f>Sheet1!$A$7</c:f>
              <c:strCache>
                <c:ptCount val="1"/>
                <c:pt idx="0">
                  <c:v>Missing</c:v>
                </c:pt>
              </c:strCache>
            </c:strRef>
          </c:tx>
          <c:spPr>
            <a:solidFill>
              <a:srgbClr val="5B5C5B"/>
            </a:solidFill>
            <a:ln w="12700" cap="flat">
              <a:noFill/>
              <a:miter lim="400000"/>
            </a:ln>
            <a:effectLst/>
          </c:spPr>
          <c:invertIfNegative val="0"/>
          <c:dLbls>
            <c:numFmt formatCode="#,##0%" sourceLinked="0"/>
            <c:spPr>
              <a:noFill/>
              <a:ln>
                <a:noFill/>
              </a:ln>
              <a:effectLst/>
            </c:spPr>
            <c:txPr>
              <a:bodyPr/>
              <a:lstStyle/>
              <a:p>
                <a:pPr>
                  <a:defRPr sz="600" b="0" i="0" u="none" strike="noStrike">
                    <a:solidFill>
                      <a:srgbClr val="000000"/>
                    </a:solidFill>
                    <a:latin typeface="Times New Roman"/>
                  </a:defRPr>
                </a:pPr>
                <a:endParaRPr lang="de-DE"/>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Sheet1!$B$1:$D$1</c:f>
              <c:strCache>
                <c:ptCount val="3"/>
                <c:pt idx="0">
                  <c:v>Age (N = 121, 100%)</c:v>
                </c:pt>
                <c:pt idx="1">
                  <c:v>Female (N=70, 57,9%)</c:v>
                </c:pt>
                <c:pt idx="2">
                  <c:v>Male (N = 51, 42,1%)</c:v>
                </c:pt>
              </c:strCache>
            </c:strRef>
          </c:cat>
          <c:val>
            <c:numRef>
              <c:f>Sheet1!$B$7:$D$7</c:f>
              <c:numCache>
                <c:formatCode>General</c:formatCode>
                <c:ptCount val="3"/>
                <c:pt idx="0">
                  <c:v>8.0000000000000002E-3</c:v>
                </c:pt>
                <c:pt idx="1">
                  <c:v>1.4999999999999999E-2</c:v>
                </c:pt>
                <c:pt idx="2">
                  <c:v>0</c:v>
                </c:pt>
              </c:numCache>
            </c:numRef>
          </c:val>
          <c:extLst>
            <c:ext xmlns:c16="http://schemas.microsoft.com/office/drawing/2014/chart" uri="{C3380CC4-5D6E-409C-BE32-E72D297353CC}">
              <c16:uniqueId val="{00000005-45D8-46F1-AC73-DDA25A28FF51}"/>
            </c:ext>
          </c:extLst>
        </c:ser>
        <c:dLbls>
          <c:showLegendKey val="0"/>
          <c:showVal val="0"/>
          <c:showCatName val="0"/>
          <c:showSerName val="0"/>
          <c:showPercent val="0"/>
          <c:showBubbleSize val="0"/>
        </c:dLbls>
        <c:gapWidth val="40"/>
        <c:overlap val="100"/>
        <c:axId val="2094734552"/>
        <c:axId val="2094734553"/>
      </c:barChart>
      <c:catAx>
        <c:axId val="2094734552"/>
        <c:scaling>
          <c:orientation val="maxMin"/>
        </c:scaling>
        <c:delete val="0"/>
        <c:axPos val="l"/>
        <c:numFmt formatCode="0%" sourceLinked="0"/>
        <c:majorTickMark val="none"/>
        <c:minorTickMark val="none"/>
        <c:tickLblPos val="nextTo"/>
        <c:spPr>
          <a:ln w="12700" cap="flat">
            <a:solidFill>
              <a:srgbClr val="000000"/>
            </a:solidFill>
            <a:prstDash val="solid"/>
            <a:miter lim="400000"/>
          </a:ln>
        </c:spPr>
        <c:txPr>
          <a:bodyPr rot="0"/>
          <a:lstStyle/>
          <a:p>
            <a:pPr>
              <a:defRPr sz="800" b="0" i="0" u="none" strike="noStrike">
                <a:solidFill>
                  <a:srgbClr val="000000"/>
                </a:solidFill>
                <a:latin typeface="Times New Roman"/>
              </a:defRPr>
            </a:pPr>
            <a:endParaRPr lang="de-DE"/>
          </a:p>
        </c:txPr>
        <c:crossAx val="2094734553"/>
        <c:crosses val="autoZero"/>
        <c:auto val="1"/>
        <c:lblAlgn val="ctr"/>
        <c:lblOffset val="100"/>
        <c:noMultiLvlLbl val="1"/>
      </c:catAx>
      <c:valAx>
        <c:axId val="2094734553"/>
        <c:scaling>
          <c:orientation val="minMax"/>
        </c:scaling>
        <c:delete val="0"/>
        <c:axPos val="t"/>
        <c:majorGridlines>
          <c:spPr>
            <a:ln w="12700" cap="flat">
              <a:solidFill>
                <a:srgbClr val="B8B8B8"/>
              </a:solidFill>
              <a:prstDash val="solid"/>
              <a:miter lim="400000"/>
            </a:ln>
          </c:spPr>
        </c:majorGridlines>
        <c:numFmt formatCode="0%" sourceLinked="0"/>
        <c:majorTickMark val="none"/>
        <c:minorTickMark val="none"/>
        <c:tickLblPos val="high"/>
        <c:spPr>
          <a:ln w="12700" cap="flat">
            <a:noFill/>
            <a:prstDash val="solid"/>
            <a:miter lim="400000"/>
          </a:ln>
        </c:spPr>
        <c:txPr>
          <a:bodyPr rot="0"/>
          <a:lstStyle/>
          <a:p>
            <a:pPr>
              <a:defRPr sz="800" b="0" i="0" u="none" strike="noStrike">
                <a:solidFill>
                  <a:srgbClr val="000000"/>
                </a:solidFill>
                <a:latin typeface="Times New Roman"/>
              </a:defRPr>
            </a:pPr>
            <a:endParaRPr lang="de-DE"/>
          </a:p>
        </c:txPr>
        <c:crossAx val="2094734552"/>
        <c:crosses val="autoZero"/>
        <c:crossBetween val="between"/>
        <c:majorUnit val="0.25"/>
        <c:minorUnit val="0.125"/>
      </c:valAx>
      <c:spPr>
        <a:noFill/>
        <a:ln w="12700" cap="flat">
          <a:noFill/>
          <a:miter lim="400000"/>
        </a:ln>
        <a:effectLst/>
      </c:spPr>
    </c:plotArea>
    <c:legend>
      <c:legendPos val="t"/>
      <c:layout>
        <c:manualLayout>
          <c:xMode val="edge"/>
          <c:yMode val="edge"/>
          <c:x val="0.173626"/>
          <c:y val="0"/>
          <c:w val="0.82637400000000005"/>
          <c:h val="0.16214000000000001"/>
        </c:manualLayout>
      </c:layout>
      <c:overlay val="1"/>
      <c:spPr>
        <a:noFill/>
        <a:ln w="12700" cap="flat">
          <a:noFill/>
          <a:miter lim="400000"/>
        </a:ln>
        <a:effectLst/>
      </c:spPr>
      <c:txPr>
        <a:bodyPr rot="0"/>
        <a:lstStyle/>
        <a:p>
          <a:pPr>
            <a:defRPr sz="800" b="0" i="0" u="none" strike="noStrike">
              <a:solidFill>
                <a:srgbClr val="000000"/>
              </a:solidFill>
              <a:latin typeface="Times New Roman"/>
            </a:defRPr>
          </a:pPr>
          <a:endParaRPr lang="de-DE"/>
        </a:p>
      </c:txPr>
    </c:legend>
    <c:plotVisOnly val="1"/>
    <c:dispBlanksAs val="gap"/>
    <c:showDLblsOverMax val="1"/>
  </c:chart>
  <c:spPr>
    <a:noFill/>
    <a:ln>
      <a:noFill/>
    </a:ln>
    <a:effectLst/>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en-US"/>
  <c:roundedCorners val="0"/>
  <c:style val="2"/>
  <c:chart>
    <c:autoTitleDeleted val="1"/>
    <c:plotArea>
      <c:layout>
        <c:manualLayout>
          <c:layoutTarget val="inner"/>
          <c:xMode val="edge"/>
          <c:yMode val="edge"/>
          <c:x val="2.6821000000000001E-2"/>
          <c:y val="0.334457"/>
          <c:w val="0.94196500000000005"/>
          <c:h val="0.49370799999999998"/>
        </c:manualLayout>
      </c:layout>
      <c:barChart>
        <c:barDir val="bar"/>
        <c:grouping val="clustered"/>
        <c:varyColors val="0"/>
        <c:ser>
          <c:idx val="0"/>
          <c:order val="0"/>
          <c:tx>
            <c:strRef>
              <c:f>Sheet1!$A$2</c:f>
              <c:strCache>
                <c:ptCount val="1"/>
                <c:pt idx="0">
                  <c:v>Agroecological Practices (All)</c:v>
                </c:pt>
              </c:strCache>
            </c:strRef>
          </c:tx>
          <c:spPr>
            <a:solidFill>
              <a:srgbClr val="808785"/>
            </a:solidFill>
            <a:ln w="12700" cap="flat">
              <a:noFill/>
              <a:miter lim="400000"/>
            </a:ln>
            <a:effectLst/>
          </c:spPr>
          <c:invertIfNegative val="0"/>
          <c:dLbls>
            <c:numFmt formatCode="#,##0.00" sourceLinked="0"/>
            <c:spPr>
              <a:noFill/>
              <a:ln>
                <a:noFill/>
              </a:ln>
              <a:effectLst/>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errBars>
            <c:errBarType val="both"/>
            <c:errValType val="fixedVal"/>
            <c:noEndCap val="0"/>
            <c:val val="0.53"/>
            <c:spPr>
              <a:noFill/>
              <a:ln w="12700" cap="flat">
                <a:solidFill>
                  <a:srgbClr val="000000"/>
                </a:solidFill>
                <a:prstDash val="solid"/>
                <a:miter lim="400000"/>
              </a:ln>
              <a:effectLst/>
            </c:spPr>
          </c:errBars>
          <c:cat>
            <c:strRef>
              <c:f>Sheet1!$B$1:$B$1</c:f>
              <c:strCache>
                <c:ptCount val="1"/>
              </c:strCache>
            </c:strRef>
          </c:cat>
          <c:val>
            <c:numRef>
              <c:f>Sheet1!$B$2:$B$2</c:f>
              <c:numCache>
                <c:formatCode>General</c:formatCode>
                <c:ptCount val="1"/>
                <c:pt idx="0">
                  <c:v>3.2492390000000002</c:v>
                </c:pt>
              </c:numCache>
            </c:numRef>
          </c:val>
          <c:extLst>
            <c:ext xmlns:c16="http://schemas.microsoft.com/office/drawing/2014/chart" uri="{C3380CC4-5D6E-409C-BE32-E72D297353CC}">
              <c16:uniqueId val="{00000000-DD08-4848-8CCB-4F67780C95D4}"/>
            </c:ext>
          </c:extLst>
        </c:ser>
        <c:ser>
          <c:idx val="1"/>
          <c:order val="1"/>
          <c:tx>
            <c:strRef>
              <c:f>Sheet1!$A$3</c:f>
              <c:strCache>
                <c:ptCount val="1"/>
                <c:pt idx="0">
                  <c:v>Recycling on-farm biomass/saving nutrients</c:v>
                </c:pt>
              </c:strCache>
            </c:strRef>
          </c:tx>
          <c:spPr>
            <a:solidFill>
              <a:srgbClr val="B4B4B4"/>
            </a:solidFill>
            <a:ln w="12700" cap="flat">
              <a:noFill/>
              <a:miter lim="400000"/>
            </a:ln>
            <a:effectLst/>
          </c:spPr>
          <c:invertIfNegative val="0"/>
          <c:dLbls>
            <c:numFmt formatCode="#,##0.00" sourceLinked="0"/>
            <c:spPr>
              <a:noFill/>
              <a:ln>
                <a:noFill/>
              </a:ln>
              <a:effectLst/>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errBars>
            <c:errBarType val="both"/>
            <c:errValType val="fixedVal"/>
            <c:noEndCap val="0"/>
            <c:val val="0.63"/>
            <c:spPr>
              <a:noFill/>
              <a:ln w="12700" cap="flat">
                <a:solidFill>
                  <a:srgbClr val="000000"/>
                </a:solidFill>
                <a:prstDash val="solid"/>
                <a:miter lim="400000"/>
              </a:ln>
              <a:effectLst/>
            </c:spPr>
          </c:errBars>
          <c:cat>
            <c:strRef>
              <c:f>Sheet1!$B$1:$B$1</c:f>
              <c:strCache>
                <c:ptCount val="1"/>
              </c:strCache>
            </c:strRef>
          </c:cat>
          <c:val>
            <c:numRef>
              <c:f>Sheet1!$B$3:$B$3</c:f>
              <c:numCache>
                <c:formatCode>General</c:formatCode>
                <c:ptCount val="1"/>
                <c:pt idx="0">
                  <c:v>3.3765149999999999</c:v>
                </c:pt>
              </c:numCache>
            </c:numRef>
          </c:val>
          <c:extLst>
            <c:ext xmlns:c16="http://schemas.microsoft.com/office/drawing/2014/chart" uri="{C3380CC4-5D6E-409C-BE32-E72D297353CC}">
              <c16:uniqueId val="{00000001-DD08-4848-8CCB-4F67780C95D4}"/>
            </c:ext>
          </c:extLst>
        </c:ser>
        <c:ser>
          <c:idx val="2"/>
          <c:order val="2"/>
          <c:tx>
            <c:strRef>
              <c:f>Sheet1!$A$4</c:f>
              <c:strCache>
                <c:ptCount val="1"/>
                <c:pt idx="0">
                  <c:v>Biological pest/disease control</c:v>
                </c:pt>
              </c:strCache>
            </c:strRef>
          </c:tx>
          <c:spPr>
            <a:solidFill>
              <a:srgbClr val="5A5F5E"/>
            </a:solidFill>
            <a:ln w="12700" cap="flat">
              <a:noFill/>
              <a:miter lim="400000"/>
            </a:ln>
            <a:effectLst/>
          </c:spPr>
          <c:invertIfNegative val="0"/>
          <c:dLbls>
            <c:numFmt formatCode="#,##0.00" sourceLinked="0"/>
            <c:spPr>
              <a:noFill/>
              <a:ln>
                <a:noFill/>
              </a:ln>
              <a:effectLst/>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errBars>
            <c:errBarType val="both"/>
            <c:errValType val="fixedVal"/>
            <c:noEndCap val="0"/>
            <c:val val="0.87"/>
            <c:spPr>
              <a:noFill/>
              <a:ln w="12700" cap="flat">
                <a:solidFill>
                  <a:srgbClr val="000000"/>
                </a:solidFill>
                <a:prstDash val="solid"/>
                <a:miter lim="400000"/>
              </a:ln>
              <a:effectLst/>
            </c:spPr>
          </c:errBars>
          <c:cat>
            <c:strRef>
              <c:f>Sheet1!$B$1:$B$1</c:f>
              <c:strCache>
                <c:ptCount val="1"/>
              </c:strCache>
            </c:strRef>
          </c:cat>
          <c:val>
            <c:numRef>
              <c:f>Sheet1!$B$4:$B$4</c:f>
              <c:numCache>
                <c:formatCode>General</c:formatCode>
                <c:ptCount val="1"/>
                <c:pt idx="0">
                  <c:v>3.3355860000000002</c:v>
                </c:pt>
              </c:numCache>
            </c:numRef>
          </c:val>
          <c:extLst>
            <c:ext xmlns:c16="http://schemas.microsoft.com/office/drawing/2014/chart" uri="{C3380CC4-5D6E-409C-BE32-E72D297353CC}">
              <c16:uniqueId val="{00000002-DD08-4848-8CCB-4F67780C95D4}"/>
            </c:ext>
          </c:extLst>
        </c:ser>
        <c:ser>
          <c:idx val="3"/>
          <c:order val="3"/>
          <c:tx>
            <c:strRef>
              <c:f>Sheet1!$A$5</c:f>
              <c:strCache>
                <c:ptCount val="1"/>
                <c:pt idx="0">
                  <c:v>Enhancing biological activity/interactions</c:v>
                </c:pt>
              </c:strCache>
            </c:strRef>
          </c:tx>
          <c:spPr>
            <a:solidFill>
              <a:srgbClr val="000000"/>
            </a:solidFill>
            <a:ln w="12700" cap="flat">
              <a:noFill/>
              <a:miter lim="400000"/>
            </a:ln>
            <a:effectLst/>
          </c:spPr>
          <c:invertIfNegative val="0"/>
          <c:dLbls>
            <c:numFmt formatCode="#,##0.00" sourceLinked="0"/>
            <c:spPr>
              <a:noFill/>
              <a:ln>
                <a:noFill/>
              </a:ln>
              <a:effectLst/>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errBars>
            <c:errBarType val="both"/>
            <c:errValType val="fixedVal"/>
            <c:noEndCap val="0"/>
            <c:val val="0.85"/>
            <c:spPr>
              <a:noFill/>
              <a:ln w="12700" cap="flat">
                <a:solidFill>
                  <a:srgbClr val="000000"/>
                </a:solidFill>
                <a:prstDash val="solid"/>
                <a:miter lim="400000"/>
              </a:ln>
              <a:effectLst/>
            </c:spPr>
          </c:errBars>
          <c:cat>
            <c:strRef>
              <c:f>Sheet1!$B$1:$B$1</c:f>
              <c:strCache>
                <c:ptCount val="1"/>
              </c:strCache>
            </c:strRef>
          </c:cat>
          <c:val>
            <c:numRef>
              <c:f>Sheet1!$B$5:$B$5</c:f>
              <c:numCache>
                <c:formatCode>General</c:formatCode>
                <c:ptCount val="1"/>
                <c:pt idx="0">
                  <c:v>2.4922080000000002</c:v>
                </c:pt>
              </c:numCache>
            </c:numRef>
          </c:val>
          <c:extLst>
            <c:ext xmlns:c16="http://schemas.microsoft.com/office/drawing/2014/chart" uri="{C3380CC4-5D6E-409C-BE32-E72D297353CC}">
              <c16:uniqueId val="{00000003-DD08-4848-8CCB-4F67780C95D4}"/>
            </c:ext>
          </c:extLst>
        </c:ser>
        <c:ser>
          <c:idx val="4"/>
          <c:order val="4"/>
          <c:tx>
            <c:strRef>
              <c:f>Sheet1!$A$6</c:f>
              <c:strCache>
                <c:ptCount val="1"/>
                <c:pt idx="0">
                  <c:v>Saving on-farm water</c:v>
                </c:pt>
              </c:strCache>
            </c:strRef>
          </c:tx>
          <c:spPr>
            <a:solidFill>
              <a:srgbClr val="CCCCCC"/>
            </a:solidFill>
            <a:ln w="12700" cap="flat">
              <a:noFill/>
              <a:miter lim="400000"/>
            </a:ln>
            <a:effectLst/>
          </c:spPr>
          <c:invertIfNegative val="0"/>
          <c:dLbls>
            <c:numFmt formatCode="#,##0.00" sourceLinked="0"/>
            <c:spPr>
              <a:noFill/>
              <a:ln>
                <a:noFill/>
              </a:ln>
              <a:effectLst/>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errBars>
            <c:errBarType val="both"/>
            <c:errValType val="fixedVal"/>
            <c:noEndCap val="0"/>
            <c:val val="0.74"/>
            <c:spPr>
              <a:noFill/>
              <a:ln w="12700" cap="flat">
                <a:solidFill>
                  <a:srgbClr val="000000"/>
                </a:solidFill>
                <a:prstDash val="solid"/>
                <a:miter lim="400000"/>
              </a:ln>
              <a:effectLst/>
            </c:spPr>
          </c:errBars>
          <c:cat>
            <c:strRef>
              <c:f>Sheet1!$B$1:$B$1</c:f>
              <c:strCache>
                <c:ptCount val="1"/>
              </c:strCache>
            </c:strRef>
          </c:cat>
          <c:val>
            <c:numRef>
              <c:f>Sheet1!$B$6:$B$6</c:f>
              <c:numCache>
                <c:formatCode>General</c:formatCode>
                <c:ptCount val="1"/>
                <c:pt idx="0">
                  <c:v>3.1818179999999998</c:v>
                </c:pt>
              </c:numCache>
            </c:numRef>
          </c:val>
          <c:extLst>
            <c:ext xmlns:c16="http://schemas.microsoft.com/office/drawing/2014/chart" uri="{C3380CC4-5D6E-409C-BE32-E72D297353CC}">
              <c16:uniqueId val="{00000004-DD08-4848-8CCB-4F67780C95D4}"/>
            </c:ext>
          </c:extLst>
        </c:ser>
        <c:ser>
          <c:idx val="5"/>
          <c:order val="5"/>
          <c:tx>
            <c:strRef>
              <c:f>Sheet1!$A$7</c:f>
              <c:strCache>
                <c:ptCount val="1"/>
                <c:pt idx="0">
                  <c:v>Enhancing biodiversity/diversifying genetic resources</c:v>
                </c:pt>
              </c:strCache>
            </c:strRef>
          </c:tx>
          <c:spPr>
            <a:solidFill>
              <a:srgbClr val="424242"/>
            </a:solidFill>
            <a:ln w="12700" cap="flat">
              <a:noFill/>
              <a:miter lim="400000"/>
            </a:ln>
            <a:effectLst/>
          </c:spPr>
          <c:invertIfNegative val="0"/>
          <c:dLbls>
            <c:numFmt formatCode="#,##0.00" sourceLinked="0"/>
            <c:spPr>
              <a:noFill/>
              <a:ln>
                <a:noFill/>
              </a:ln>
              <a:effectLst/>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errBars>
            <c:errBarType val="both"/>
            <c:errValType val="fixedVal"/>
            <c:noEndCap val="0"/>
            <c:val val="0.66"/>
            <c:spPr>
              <a:noFill/>
              <a:ln w="12700" cap="flat">
                <a:solidFill>
                  <a:srgbClr val="000000"/>
                </a:solidFill>
                <a:prstDash val="solid"/>
                <a:miter lim="400000"/>
              </a:ln>
              <a:effectLst/>
            </c:spPr>
          </c:errBars>
          <c:cat>
            <c:strRef>
              <c:f>Sheet1!$B$1:$B$1</c:f>
              <c:strCache>
                <c:ptCount val="1"/>
              </c:strCache>
            </c:strRef>
          </c:cat>
          <c:val>
            <c:numRef>
              <c:f>Sheet1!$B$7:$B$7</c:f>
              <c:numCache>
                <c:formatCode>General</c:formatCode>
                <c:ptCount val="1"/>
                <c:pt idx="0">
                  <c:v>4.0491070000000002</c:v>
                </c:pt>
              </c:numCache>
            </c:numRef>
          </c:val>
          <c:extLst>
            <c:ext xmlns:c16="http://schemas.microsoft.com/office/drawing/2014/chart" uri="{C3380CC4-5D6E-409C-BE32-E72D297353CC}">
              <c16:uniqueId val="{00000005-DD08-4848-8CCB-4F67780C95D4}"/>
            </c:ext>
          </c:extLst>
        </c:ser>
        <c:dLbls>
          <c:showLegendKey val="0"/>
          <c:showVal val="0"/>
          <c:showCatName val="0"/>
          <c:showSerName val="0"/>
          <c:showPercent val="0"/>
          <c:showBubbleSize val="0"/>
        </c:dLbls>
        <c:gapWidth val="40"/>
        <c:overlap val="-10"/>
        <c:axId val="2094734552"/>
        <c:axId val="2094734553"/>
      </c:barChart>
      <c:catAx>
        <c:axId val="2094734552"/>
        <c:scaling>
          <c:orientation val="maxMin"/>
        </c:scaling>
        <c:delete val="0"/>
        <c:axPos val="l"/>
        <c:numFmt formatCode="0.00" sourceLinked="0"/>
        <c:majorTickMark val="none"/>
        <c:minorTickMark val="none"/>
        <c:tickLblPos val="nextTo"/>
        <c:spPr>
          <a:ln w="12700" cap="flat">
            <a:solidFill>
              <a:srgbClr val="000000"/>
            </a:solidFill>
            <a:prstDash val="solid"/>
            <a:miter lim="400000"/>
          </a:ln>
        </c:spPr>
        <c:txPr>
          <a:bodyPr rot="0"/>
          <a:lstStyle/>
          <a:p>
            <a:pPr>
              <a:defRPr sz="1000" b="0" i="0" u="none" strike="noStrike">
                <a:solidFill>
                  <a:srgbClr val="000000"/>
                </a:solidFill>
                <a:latin typeface="Times New Roman"/>
              </a:defRPr>
            </a:pPr>
            <a:endParaRPr lang="de-DE"/>
          </a:p>
        </c:txPr>
        <c:crossAx val="2094734553"/>
        <c:crosses val="autoZero"/>
        <c:auto val="1"/>
        <c:lblAlgn val="ctr"/>
        <c:lblOffset val="100"/>
        <c:noMultiLvlLbl val="1"/>
      </c:catAx>
      <c:valAx>
        <c:axId val="2094734553"/>
        <c:scaling>
          <c:orientation val="minMax"/>
          <c:max val="5"/>
          <c:min val="1"/>
        </c:scaling>
        <c:delete val="0"/>
        <c:axPos val="t"/>
        <c:majorGridlines>
          <c:spPr>
            <a:ln w="12700" cap="flat">
              <a:solidFill>
                <a:srgbClr val="B8B8B8"/>
              </a:solidFill>
              <a:prstDash val="solid"/>
              <a:miter lim="400000"/>
            </a:ln>
          </c:spPr>
        </c:majorGridlines>
        <c:numFmt formatCode="0.00" sourceLinked="0"/>
        <c:majorTickMark val="none"/>
        <c:minorTickMark val="none"/>
        <c:tickLblPos val="high"/>
        <c:spPr>
          <a:ln w="12700" cap="flat">
            <a:noFill/>
            <a:prstDash val="solid"/>
            <a:miter lim="400000"/>
          </a:ln>
        </c:spPr>
        <c:txPr>
          <a:bodyPr rot="0"/>
          <a:lstStyle/>
          <a:p>
            <a:pPr>
              <a:defRPr sz="1000" b="0" i="0" u="none" strike="noStrike">
                <a:solidFill>
                  <a:srgbClr val="000000"/>
                </a:solidFill>
                <a:latin typeface="Times New Roman"/>
              </a:defRPr>
            </a:pPr>
            <a:endParaRPr lang="de-DE"/>
          </a:p>
        </c:txPr>
        <c:crossAx val="2094734552"/>
        <c:crosses val="autoZero"/>
        <c:crossBetween val="between"/>
        <c:majorUnit val="1"/>
        <c:minorUnit val="0.5"/>
      </c:valAx>
      <c:spPr>
        <a:noFill/>
        <a:ln w="12700" cap="flat">
          <a:noFill/>
          <a:miter lim="400000"/>
        </a:ln>
        <a:effectLst/>
      </c:spPr>
    </c:plotArea>
    <c:legend>
      <c:legendPos val="r"/>
      <c:layout>
        <c:manualLayout>
          <c:xMode val="edge"/>
          <c:yMode val="edge"/>
          <c:x val="2.5259899999999998E-2"/>
          <c:y val="0"/>
          <c:w val="0.97474000000000005"/>
          <c:h val="0.38319900000000001"/>
        </c:manualLayout>
      </c:layout>
      <c:overlay val="1"/>
      <c:spPr>
        <a:noFill/>
        <a:ln w="12700" cap="flat">
          <a:noFill/>
          <a:miter lim="400000"/>
        </a:ln>
        <a:effectLst/>
      </c:spPr>
      <c:txPr>
        <a:bodyPr rot="0"/>
        <a:lstStyle/>
        <a:p>
          <a:pPr>
            <a:defRPr sz="1000" b="0" i="0" u="none" strike="noStrike">
              <a:solidFill>
                <a:srgbClr val="000000"/>
              </a:solidFill>
              <a:latin typeface="Times New Roman"/>
            </a:defRPr>
          </a:pPr>
          <a:endParaRPr lang="de-DE"/>
        </a:p>
      </c:txPr>
    </c:legend>
    <c:plotVisOnly val="1"/>
    <c:dispBlanksAs val="gap"/>
    <c:showDLblsOverMax val="1"/>
  </c:chart>
  <c:spPr>
    <a:noFill/>
    <a:ln>
      <a:noFill/>
    </a:ln>
    <a:effectLst/>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en-US"/>
  <c:roundedCorners val="0"/>
  <c:style val="2"/>
  <c:chart>
    <c:title>
      <c:tx>
        <c:rich>
          <a:bodyPr rot="0"/>
          <a:lstStyle/>
          <a:p>
            <a:pPr>
              <a:defRPr sz="1200" b="0" i="0" u="none" strike="noStrike">
                <a:solidFill>
                  <a:srgbClr val="000000"/>
                </a:solidFill>
                <a:latin typeface="Times New Roman"/>
              </a:defRPr>
            </a:pPr>
            <a:r>
              <a:rPr lang="de-DE" sz="1200" b="0" i="0" u="none" strike="noStrike">
                <a:solidFill>
                  <a:srgbClr val="000000"/>
                </a:solidFill>
                <a:latin typeface="Times New Roman"/>
              </a:rPr>
              <a:t>Behaviours Averages</a:t>
            </a:r>
          </a:p>
        </c:rich>
      </c:tx>
      <c:layout>
        <c:manualLayout>
          <c:xMode val="edge"/>
          <c:yMode val="edge"/>
          <c:x val="0.34325099999999997"/>
          <c:y val="0"/>
          <c:w val="0.31349700000000003"/>
          <c:h val="0.28177600000000003"/>
        </c:manualLayout>
      </c:layout>
      <c:overlay val="1"/>
      <c:spPr>
        <a:noFill/>
        <a:effectLst/>
      </c:spPr>
    </c:title>
    <c:autoTitleDeleted val="0"/>
    <c:plotArea>
      <c:layout>
        <c:manualLayout>
          <c:layoutTarget val="inner"/>
          <c:xMode val="edge"/>
          <c:yMode val="edge"/>
          <c:x val="0.43867600000000001"/>
          <c:y val="0.28177600000000003"/>
          <c:w val="0.53273000000000004"/>
          <c:h val="0.54707899999999998"/>
        </c:manualLayout>
      </c:layout>
      <c:barChart>
        <c:barDir val="bar"/>
        <c:grouping val="clustered"/>
        <c:varyColors val="0"/>
        <c:ser>
          <c:idx val="0"/>
          <c:order val="0"/>
          <c:tx>
            <c:v>Behaviours Averages</c:v>
          </c:tx>
          <c:spPr>
            <a:solidFill>
              <a:srgbClr val="808785"/>
            </a:solidFill>
            <a:ln w="12700" cap="flat">
              <a:noFill/>
              <a:miter lim="400000"/>
            </a:ln>
            <a:effectLst/>
          </c:spPr>
          <c:invertIfNegative val="0"/>
          <c:dPt>
            <c:idx val="0"/>
            <c:invertIfNegative val="1"/>
            <c:bubble3D val="0"/>
            <c:spPr>
              <a:solidFill>
                <a:srgbClr val="808785"/>
              </a:solidFill>
              <a:ln w="12700" cap="flat">
                <a:noFill/>
                <a:miter lim="400000"/>
              </a:ln>
              <a:effectLst/>
            </c:spPr>
            <c:extLst>
              <c:ext xmlns:c16="http://schemas.microsoft.com/office/drawing/2014/chart" uri="{C3380CC4-5D6E-409C-BE32-E72D297353CC}">
                <c16:uniqueId val="{00000001-32E8-420F-98BA-04FD83AE52CC}"/>
              </c:ext>
            </c:extLst>
          </c:dPt>
          <c:dPt>
            <c:idx val="1"/>
            <c:invertIfNegative val="1"/>
            <c:bubble3D val="0"/>
            <c:spPr>
              <a:solidFill>
                <a:srgbClr val="B4B4B4"/>
              </a:solidFill>
              <a:ln w="12700" cap="flat">
                <a:noFill/>
                <a:miter lim="400000"/>
              </a:ln>
              <a:effectLst/>
            </c:spPr>
            <c:extLst>
              <c:ext xmlns:c16="http://schemas.microsoft.com/office/drawing/2014/chart" uri="{C3380CC4-5D6E-409C-BE32-E72D297353CC}">
                <c16:uniqueId val="{00000003-32E8-420F-98BA-04FD83AE52CC}"/>
              </c:ext>
            </c:extLst>
          </c:dPt>
          <c:dPt>
            <c:idx val="2"/>
            <c:invertIfNegative val="1"/>
            <c:bubble3D val="0"/>
            <c:spPr>
              <a:solidFill>
                <a:srgbClr val="5A5F5E"/>
              </a:solidFill>
              <a:ln w="12700" cap="flat">
                <a:noFill/>
                <a:miter lim="400000"/>
              </a:ln>
              <a:effectLst/>
            </c:spPr>
            <c:extLst>
              <c:ext xmlns:c16="http://schemas.microsoft.com/office/drawing/2014/chart" uri="{C3380CC4-5D6E-409C-BE32-E72D297353CC}">
                <c16:uniqueId val="{00000005-32E8-420F-98BA-04FD83AE52CC}"/>
              </c:ext>
            </c:extLst>
          </c:dPt>
          <c:dPt>
            <c:idx val="3"/>
            <c:invertIfNegative val="1"/>
            <c:bubble3D val="0"/>
            <c:spPr>
              <a:solidFill>
                <a:srgbClr val="000000"/>
              </a:solidFill>
              <a:ln w="12700" cap="flat">
                <a:noFill/>
                <a:miter lim="400000"/>
              </a:ln>
              <a:effectLst/>
            </c:spPr>
            <c:extLst>
              <c:ext xmlns:c16="http://schemas.microsoft.com/office/drawing/2014/chart" uri="{C3380CC4-5D6E-409C-BE32-E72D297353CC}">
                <c16:uniqueId val="{00000007-32E8-420F-98BA-04FD83AE52CC}"/>
              </c:ext>
            </c:extLst>
          </c:dPt>
          <c:dPt>
            <c:idx val="4"/>
            <c:invertIfNegative val="1"/>
            <c:bubble3D val="0"/>
            <c:spPr>
              <a:solidFill>
                <a:srgbClr val="CCCCCC"/>
              </a:solidFill>
              <a:ln w="12700" cap="flat">
                <a:noFill/>
                <a:miter lim="400000"/>
              </a:ln>
              <a:effectLst/>
            </c:spPr>
            <c:extLst>
              <c:ext xmlns:c16="http://schemas.microsoft.com/office/drawing/2014/chart" uri="{C3380CC4-5D6E-409C-BE32-E72D297353CC}">
                <c16:uniqueId val="{00000009-32E8-420F-98BA-04FD83AE52CC}"/>
              </c:ext>
            </c:extLst>
          </c:dPt>
          <c:dPt>
            <c:idx val="5"/>
            <c:invertIfNegative val="1"/>
            <c:bubble3D val="0"/>
            <c:spPr>
              <a:solidFill>
                <a:srgbClr val="424242"/>
              </a:solidFill>
              <a:ln w="12700" cap="flat">
                <a:noFill/>
                <a:miter lim="400000"/>
              </a:ln>
              <a:effectLst/>
            </c:spPr>
            <c:extLst>
              <c:ext xmlns:c16="http://schemas.microsoft.com/office/drawing/2014/chart" uri="{C3380CC4-5D6E-409C-BE32-E72D297353CC}">
                <c16:uniqueId val="{0000000B-32E8-420F-98BA-04FD83AE52CC}"/>
              </c:ext>
            </c:extLst>
          </c:dPt>
          <c:dLbls>
            <c:dLbl>
              <c:idx val="0"/>
              <c:numFmt formatCode="#,##0" sourceLinked="0"/>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extLst>
                <c:ext xmlns:c16="http://schemas.microsoft.com/office/drawing/2014/chart" uri="{C3380CC4-5D6E-409C-BE32-E72D297353CC}">
                  <c16:uniqueId val="{00000001-32E8-420F-98BA-04FD83AE52CC}"/>
                </c:ext>
              </c:extLst>
            </c:dLbl>
            <c:dLbl>
              <c:idx val="1"/>
              <c:numFmt formatCode="#,##0" sourceLinked="0"/>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extLst>
                <c:ext xmlns:c16="http://schemas.microsoft.com/office/drawing/2014/chart" uri="{C3380CC4-5D6E-409C-BE32-E72D297353CC}">
                  <c16:uniqueId val="{00000003-32E8-420F-98BA-04FD83AE52CC}"/>
                </c:ext>
              </c:extLst>
            </c:dLbl>
            <c:dLbl>
              <c:idx val="2"/>
              <c:numFmt formatCode="#,##0" sourceLinked="0"/>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extLst>
                <c:ext xmlns:c16="http://schemas.microsoft.com/office/drawing/2014/chart" uri="{C3380CC4-5D6E-409C-BE32-E72D297353CC}">
                  <c16:uniqueId val="{00000005-32E8-420F-98BA-04FD83AE52CC}"/>
                </c:ext>
              </c:extLst>
            </c:dLbl>
            <c:dLbl>
              <c:idx val="3"/>
              <c:numFmt formatCode="#,##0" sourceLinked="0"/>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extLst>
                <c:ext xmlns:c16="http://schemas.microsoft.com/office/drawing/2014/chart" uri="{C3380CC4-5D6E-409C-BE32-E72D297353CC}">
                  <c16:uniqueId val="{00000007-32E8-420F-98BA-04FD83AE52CC}"/>
                </c:ext>
              </c:extLst>
            </c:dLbl>
            <c:dLbl>
              <c:idx val="4"/>
              <c:numFmt formatCode="#,##0" sourceLinked="0"/>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extLst>
                <c:ext xmlns:c16="http://schemas.microsoft.com/office/drawing/2014/chart" uri="{C3380CC4-5D6E-409C-BE32-E72D297353CC}">
                  <c16:uniqueId val="{00000009-32E8-420F-98BA-04FD83AE52CC}"/>
                </c:ext>
              </c:extLst>
            </c:dLbl>
            <c:dLbl>
              <c:idx val="5"/>
              <c:numFmt formatCode="#,##0" sourceLinked="0"/>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extLst>
                <c:ext xmlns:c16="http://schemas.microsoft.com/office/drawing/2014/chart" uri="{C3380CC4-5D6E-409C-BE32-E72D297353CC}">
                  <c16:uniqueId val="{0000000B-32E8-420F-98BA-04FD83AE52CC}"/>
                </c:ext>
              </c:extLst>
            </c:dLbl>
            <c:numFmt formatCode="#,##0" sourceLinked="0"/>
            <c:spPr>
              <a:noFill/>
              <a:ln>
                <a:noFill/>
              </a:ln>
              <a:effectLst/>
            </c:spPr>
            <c:txPr>
              <a:bodyPr/>
              <a:lstStyle/>
              <a:p>
                <a:pPr>
                  <a:defRPr sz="1000" b="0" i="0" u="none" strike="noStrike">
                    <a:solidFill>
                      <a:srgbClr val="FFFFFF"/>
                    </a:solidFill>
                    <a:latin typeface="Times New Roman"/>
                  </a:defRPr>
                </a:pPr>
                <a:endParaRPr lang="de-DE"/>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fixedVal"/>
            <c:noEndCap val="0"/>
            <c:val val="0.45"/>
            <c:spPr>
              <a:noFill/>
              <a:ln w="12700" cap="flat">
                <a:solidFill>
                  <a:srgbClr val="000000"/>
                </a:solidFill>
                <a:prstDash val="solid"/>
                <a:miter lim="400000"/>
              </a:ln>
              <a:effectLst/>
            </c:spPr>
          </c:errBars>
          <c:cat>
            <c:strLit>
              <c:ptCount val="6"/>
              <c:pt idx="0">
                <c:v>ASDENIC (N = 34)</c:v>
              </c:pt>
              <c:pt idx="1">
                <c:v>FEM (N = 29)</c:v>
              </c:pt>
              <c:pt idx="2">
                <c:v>FORO MIRAFLOR (N = 13)</c:v>
              </c:pt>
              <c:pt idx="3">
                <c:v>OCTUPAN (N = 29)</c:v>
              </c:pt>
              <c:pt idx="4">
                <c:v>UNAG (N = 15)</c:v>
              </c:pt>
              <c:pt idx="5">
                <c:v>Missing (N = 1)</c:v>
              </c:pt>
            </c:strLit>
          </c:cat>
          <c:val>
            <c:numLit>
              <c:formatCode>General</c:formatCode>
              <c:ptCount val="6"/>
              <c:pt idx="0">
                <c:v>3.12</c:v>
              </c:pt>
              <c:pt idx="1">
                <c:v>3.41</c:v>
              </c:pt>
              <c:pt idx="2">
                <c:v>3.74</c:v>
              </c:pt>
              <c:pt idx="3">
                <c:v>3.08</c:v>
              </c:pt>
              <c:pt idx="4">
                <c:v>2.83</c:v>
              </c:pt>
              <c:pt idx="5">
                <c:v>2.5499999999999998</c:v>
              </c:pt>
            </c:numLit>
          </c:val>
          <c:extLst>
            <c:ext xmlns:c16="http://schemas.microsoft.com/office/drawing/2014/chart" uri="{C3380CC4-5D6E-409C-BE32-E72D297353CC}">
              <c16:uniqueId val="{0000000C-32E8-420F-98BA-04FD83AE52CC}"/>
            </c:ext>
          </c:extLst>
        </c:ser>
        <c:dLbls>
          <c:showLegendKey val="0"/>
          <c:showVal val="0"/>
          <c:showCatName val="0"/>
          <c:showSerName val="0"/>
          <c:showPercent val="0"/>
          <c:showBubbleSize val="0"/>
        </c:dLbls>
        <c:gapWidth val="10"/>
        <c:overlap val="-40"/>
        <c:axId val="2094734552"/>
        <c:axId val="2094734553"/>
      </c:barChart>
      <c:catAx>
        <c:axId val="2094734552"/>
        <c:scaling>
          <c:orientation val="maxMin"/>
        </c:scaling>
        <c:delete val="0"/>
        <c:axPos val="l"/>
        <c:numFmt formatCode="General" sourceLinked="0"/>
        <c:majorTickMark val="none"/>
        <c:minorTickMark val="none"/>
        <c:tickLblPos val="nextTo"/>
        <c:spPr>
          <a:ln w="12700" cap="flat">
            <a:solidFill>
              <a:srgbClr val="000000"/>
            </a:solidFill>
            <a:prstDash val="solid"/>
            <a:miter lim="400000"/>
          </a:ln>
        </c:spPr>
        <c:txPr>
          <a:bodyPr rot="0"/>
          <a:lstStyle/>
          <a:p>
            <a:pPr>
              <a:defRPr sz="1000" b="0" i="0" u="none" strike="noStrike">
                <a:solidFill>
                  <a:srgbClr val="000000"/>
                </a:solidFill>
                <a:latin typeface="Times New Roman"/>
              </a:defRPr>
            </a:pPr>
            <a:endParaRPr lang="de-DE"/>
          </a:p>
        </c:txPr>
        <c:crossAx val="2094734553"/>
        <c:crosses val="autoZero"/>
        <c:auto val="1"/>
        <c:lblAlgn val="ctr"/>
        <c:lblOffset val="100"/>
        <c:noMultiLvlLbl val="1"/>
      </c:catAx>
      <c:valAx>
        <c:axId val="2094734553"/>
        <c:scaling>
          <c:orientation val="minMax"/>
          <c:max val="5"/>
          <c:min val="1"/>
        </c:scaling>
        <c:delete val="0"/>
        <c:axPos val="t"/>
        <c:majorGridlines>
          <c:spPr>
            <a:ln w="12700" cap="flat">
              <a:solidFill>
                <a:srgbClr val="B8B8B8"/>
              </a:solidFill>
              <a:prstDash val="solid"/>
              <a:miter lim="400000"/>
            </a:ln>
          </c:spPr>
        </c:majorGridlines>
        <c:numFmt formatCode="0.00" sourceLinked="0"/>
        <c:majorTickMark val="none"/>
        <c:minorTickMark val="none"/>
        <c:tickLblPos val="high"/>
        <c:spPr>
          <a:ln w="12700" cap="flat">
            <a:noFill/>
            <a:prstDash val="solid"/>
            <a:miter lim="400000"/>
          </a:ln>
        </c:spPr>
        <c:txPr>
          <a:bodyPr rot="0"/>
          <a:lstStyle/>
          <a:p>
            <a:pPr>
              <a:defRPr sz="1000" b="0" i="0" u="none" strike="noStrike">
                <a:solidFill>
                  <a:srgbClr val="000000"/>
                </a:solidFill>
                <a:latin typeface="Times New Roman"/>
              </a:defRPr>
            </a:pPr>
            <a:endParaRPr lang="de-DE"/>
          </a:p>
        </c:txPr>
        <c:crossAx val="2094734552"/>
        <c:crosses val="autoZero"/>
        <c:crossBetween val="between"/>
        <c:majorUnit val="1"/>
        <c:minorUnit val="0.5"/>
      </c:valAx>
      <c:spPr>
        <a:noFill/>
        <a:ln w="12700" cap="flat">
          <a:noFill/>
          <a:miter lim="400000"/>
        </a:ln>
        <a:effectLst/>
      </c:spPr>
    </c:plotArea>
    <c:plotVisOnly val="1"/>
    <c:dispBlanksAs val="gap"/>
    <c:showDLblsOverMax val="1"/>
  </c:chart>
  <c:spPr>
    <a:noFill/>
    <a:ln>
      <a:noFill/>
    </a:ln>
    <a:effectLst/>
  </c:spPr>
  <c:externalData r:id="rId1">
    <c:autoUpdate val="0"/>
  </c:externalData>
</c:chartSpace>
</file>

<file path=word/theme/_rels/theme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6350" cap="flat">
          <a:solidFill>
            <a:srgbClr val="000000"/>
          </a:solidFill>
          <a:prstDash val="solid"/>
          <a:miter lim="400000"/>
        </a:ln>
        <a:effectLst>
          <a:outerShdw blurRad="38100" dist="25400" dir="5400000" rotWithShape="0">
            <a:srgbClr val="000000">
              <a:alpha val="50000"/>
            </a:srgbClr>
          </a:outerShdw>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440047-A58D-46AF-9C6B-08D737A29C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3873</Words>
  <Characters>24402</Characters>
  <Application>Microsoft Office Word</Application>
  <DocSecurity>0</DocSecurity>
  <Lines>203</Lines>
  <Paragraphs>56</Paragraphs>
  <ScaleCrop>false</ScaleCrop>
  <HeadingPairs>
    <vt:vector size="2" baseType="variant">
      <vt:variant>
        <vt:lpstr>Title</vt:lpstr>
      </vt:variant>
      <vt:variant>
        <vt:i4>1</vt:i4>
      </vt:variant>
    </vt:vector>
  </HeadingPairs>
  <TitlesOfParts>
    <vt:vector size="1" baseType="lpstr">
      <vt:lpstr/>
    </vt:vector>
  </TitlesOfParts>
  <Company>Fraunhofer ISI</Company>
  <LinksUpToDate>false</LinksUpToDate>
  <CharactersWithSpaces>28219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Schiller, Katharina</cp:lastModifiedBy>
  <cp:revision>2</cp:revision>
  <dcterms:created xsi:type="dcterms:W3CDTF">2023-04-04T11:05:00Z</dcterms:created>
  <dcterms:modified xsi:type="dcterms:W3CDTF">2023-04-04T11:29:00Z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http://www.zotero.org/styles/chicago-note-bibliography</vt:lpwstr>
  </property>
  <property fmtid="{D5CDD505-2E9C-101B-9397-08002B2CF9AE}" pid="11" name="Mendeley Recent Style Name 4_1">
    <vt:lpwstr>Chicago Manual of Style 17th edition (note)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http://www.zotero.org/styles/oxford-university-press-note</vt:lpwstr>
  </property>
  <property fmtid="{D5CDD505-2E9C-101B-9397-08002B2CF9AE}" pid="19" name="Mendeley Recent Style Name 8_1">
    <vt:lpwstr>Oxford University Press (note)</vt:lpwstr>
  </property>
  <property fmtid="{D5CDD505-2E9C-101B-9397-08002B2CF9AE}" pid="20" name="Mendeley Recent Style Id 9_1">
    <vt:lpwstr>http://www.zotero.org/styles/pnas</vt:lpwstr>
  </property>
  <property fmtid="{D5CDD505-2E9C-101B-9397-08002B2CF9AE}" pid="21" name="Mendeley Recent Style Name 9_1">
    <vt:lpwstr>Proceedings of the National Academy of Sciences of the United States of America</vt:lpwstr>
  </property>
  <property fmtid="{D5CDD505-2E9C-101B-9397-08002B2CF9AE}" pid="22" name="Mendeley Document_1">
    <vt:lpwstr>True</vt:lpwstr>
  </property>
  <property fmtid="{D5CDD505-2E9C-101B-9397-08002B2CF9AE}" pid="23" name="Mendeley Unique User Id_1">
    <vt:lpwstr>81f23107-7b34-379b-9f4e-f813e34b236e</vt:lpwstr>
  </property>
  <property fmtid="{D5CDD505-2E9C-101B-9397-08002B2CF9AE}" pid="24" name="Mendeley Citation Style_1">
    <vt:lpwstr>http://www.zotero.org/styles/chicago-author-date</vt:lpwstr>
  </property>
</Properties>
</file>