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5C5DD" w14:textId="3A53EBFB" w:rsidR="00C03B49" w:rsidRPr="00FA5876" w:rsidRDefault="00C03B49" w:rsidP="00344467">
      <w:pPr>
        <w:autoSpaceDE w:val="0"/>
        <w:autoSpaceDN w:val="0"/>
        <w:adjustRightInd w:val="0"/>
        <w:spacing w:after="120" w:line="240" w:lineRule="auto"/>
        <w:jc w:val="both"/>
        <w:rPr>
          <w:rFonts w:cstheme="minorHAnsi"/>
          <w:u w:val="single"/>
          <w:lang w:val="en-GB"/>
        </w:rPr>
      </w:pPr>
      <w:r w:rsidRPr="00FA5876">
        <w:rPr>
          <w:rFonts w:cstheme="minorHAnsi"/>
          <w:u w:val="single"/>
          <w:lang w:val="en-GB"/>
        </w:rPr>
        <w:t>Strain and Culture Conditions</w:t>
      </w:r>
    </w:p>
    <w:p w14:paraId="3CF30695" w14:textId="7DFC7B7B" w:rsidR="00C03B49" w:rsidRDefault="00FA5876" w:rsidP="00344467">
      <w:pPr>
        <w:autoSpaceDE w:val="0"/>
        <w:autoSpaceDN w:val="0"/>
        <w:adjustRightInd w:val="0"/>
        <w:spacing w:after="120" w:line="240" w:lineRule="auto"/>
        <w:jc w:val="both"/>
        <w:rPr>
          <w:rFonts w:cstheme="minorHAnsi"/>
          <w:lang w:val="en-GB"/>
        </w:rPr>
      </w:pPr>
      <w:r>
        <w:rPr>
          <w:rFonts w:cstheme="minorHAnsi"/>
          <w:lang w:val="en-GB"/>
        </w:rPr>
        <w:t>The</w:t>
      </w:r>
      <w:r w:rsidR="00C03B49" w:rsidRPr="00C03B49">
        <w:rPr>
          <w:rFonts w:cstheme="minorHAnsi"/>
          <w:lang w:val="en-GB"/>
        </w:rPr>
        <w:t xml:space="preserve"> haploid yeast </w:t>
      </w:r>
      <w:r w:rsidR="00C03B49" w:rsidRPr="00C03B49">
        <w:rPr>
          <w:rFonts w:cstheme="minorHAnsi"/>
          <w:i/>
          <w:iCs/>
          <w:lang w:val="en-GB"/>
        </w:rPr>
        <w:t>Saccharomyces cerevisiae</w:t>
      </w:r>
      <w:r w:rsidR="00C03B49" w:rsidRPr="00C03B49">
        <w:rPr>
          <w:rFonts w:cstheme="minorHAnsi"/>
          <w:i/>
          <w:iCs/>
          <w:lang w:val="en-GB"/>
        </w:rPr>
        <w:t xml:space="preserve"> </w:t>
      </w:r>
      <w:r w:rsidR="00C03B49" w:rsidRPr="00C03B49">
        <w:rPr>
          <w:rFonts w:cstheme="minorHAnsi"/>
          <w:lang w:val="en-GB"/>
        </w:rPr>
        <w:t>CEN</w:t>
      </w:r>
      <w:r w:rsidR="00C03B49" w:rsidRPr="00C03B49">
        <w:rPr>
          <w:rFonts w:cstheme="minorHAnsi"/>
          <w:lang w:val="en-GB"/>
        </w:rPr>
        <w:t>.</w:t>
      </w:r>
      <w:r w:rsidR="00C03B49" w:rsidRPr="00C03B49">
        <w:rPr>
          <w:rFonts w:cstheme="minorHAnsi"/>
          <w:lang w:val="en-GB"/>
        </w:rPr>
        <w:t>PK113-7D</w:t>
      </w:r>
      <w:r>
        <w:rPr>
          <w:rFonts w:cstheme="minorHAnsi"/>
          <w:lang w:val="en-GB"/>
        </w:rPr>
        <w:t>,</w:t>
      </w:r>
      <w:r w:rsidR="00C03B49" w:rsidRPr="00C03B49">
        <w:rPr>
          <w:rFonts w:cstheme="minorHAnsi"/>
          <w:lang w:val="en-GB"/>
        </w:rPr>
        <w:t xml:space="preserve"> obtained from the </w:t>
      </w:r>
      <w:proofErr w:type="spellStart"/>
      <w:r w:rsidR="00C03B49" w:rsidRPr="00C03B49">
        <w:rPr>
          <w:rFonts w:cstheme="minorHAnsi"/>
          <w:i/>
          <w:iCs/>
          <w:lang w:val="en-GB"/>
        </w:rPr>
        <w:t>Centraalbureau</w:t>
      </w:r>
      <w:proofErr w:type="spellEnd"/>
      <w:r w:rsidR="00C03B49" w:rsidRPr="00C03B49">
        <w:rPr>
          <w:rFonts w:cstheme="minorHAnsi"/>
          <w:i/>
          <w:iCs/>
          <w:lang w:val="en-GB"/>
        </w:rPr>
        <w:t xml:space="preserve"> van </w:t>
      </w:r>
      <w:proofErr w:type="spellStart"/>
      <w:r w:rsidR="00C03B49" w:rsidRPr="00C03B49">
        <w:rPr>
          <w:rFonts w:cstheme="minorHAnsi"/>
          <w:i/>
          <w:iCs/>
          <w:lang w:val="en-GB"/>
        </w:rPr>
        <w:t>Schimmelcultures</w:t>
      </w:r>
      <w:proofErr w:type="spellEnd"/>
      <w:r w:rsidR="00C03B49" w:rsidRPr="00C03B49">
        <w:rPr>
          <w:rFonts w:cstheme="minorHAnsi"/>
          <w:i/>
          <w:iCs/>
          <w:lang w:val="en-GB"/>
        </w:rPr>
        <w:t xml:space="preserve"> </w:t>
      </w:r>
      <w:r w:rsidR="00C03B49" w:rsidRPr="00C03B49">
        <w:rPr>
          <w:rFonts w:cstheme="minorHAnsi"/>
          <w:lang w:val="en-GB"/>
        </w:rPr>
        <w:t xml:space="preserve">(Fungal Biodiversity </w:t>
      </w:r>
      <w:proofErr w:type="spellStart"/>
      <w:r w:rsidR="00C03B49" w:rsidRPr="00C03B49">
        <w:rPr>
          <w:rFonts w:cstheme="minorHAnsi"/>
          <w:lang w:val="en-GB"/>
        </w:rPr>
        <w:t>Center</w:t>
      </w:r>
      <w:proofErr w:type="spellEnd"/>
      <w:r w:rsidR="00C03B49" w:rsidRPr="00C03B49">
        <w:rPr>
          <w:rFonts w:cstheme="minorHAnsi"/>
          <w:lang w:val="en-GB"/>
        </w:rPr>
        <w:t>,</w:t>
      </w:r>
      <w:r w:rsidR="00C03B49" w:rsidRPr="00C03B49">
        <w:rPr>
          <w:rFonts w:cstheme="minorHAnsi"/>
          <w:lang w:val="en-GB"/>
        </w:rPr>
        <w:t xml:space="preserve"> </w:t>
      </w:r>
      <w:r w:rsidR="00C03B49" w:rsidRPr="00C03B49">
        <w:rPr>
          <w:rFonts w:cstheme="minorHAnsi"/>
          <w:lang w:val="en-GB"/>
        </w:rPr>
        <w:t>Utrecht, The Netherlands)</w:t>
      </w:r>
      <w:r>
        <w:rPr>
          <w:rFonts w:cstheme="minorHAnsi"/>
          <w:lang w:val="en-GB"/>
        </w:rPr>
        <w:t>,</w:t>
      </w:r>
      <w:r w:rsidR="00C03B49" w:rsidRPr="00C03B49">
        <w:rPr>
          <w:rFonts w:cstheme="minorHAnsi"/>
          <w:lang w:val="en-GB"/>
        </w:rPr>
        <w:t xml:space="preserve"> was used in this study. </w:t>
      </w:r>
      <w:r>
        <w:rPr>
          <w:rFonts w:cstheme="minorHAnsi"/>
          <w:lang w:val="en-GB"/>
        </w:rPr>
        <w:t>The cultivation was</w:t>
      </w:r>
      <w:r w:rsidR="00C03B49" w:rsidRPr="00C03B49">
        <w:rPr>
          <w:rFonts w:cstheme="minorHAnsi"/>
          <w:lang w:val="en-GB"/>
        </w:rPr>
        <w:t xml:space="preserve"> performed using a low-salt</w:t>
      </w:r>
      <w:r w:rsidR="00C03B49" w:rsidRPr="00C03B49">
        <w:rPr>
          <w:rFonts w:cstheme="minorHAnsi"/>
          <w:lang w:val="en-GB"/>
        </w:rPr>
        <w:t xml:space="preserve"> </w:t>
      </w:r>
      <w:r w:rsidR="00C03B49" w:rsidRPr="00C03B49">
        <w:rPr>
          <w:rFonts w:cstheme="minorHAnsi"/>
          <w:lang w:val="en-GB"/>
        </w:rPr>
        <w:t xml:space="preserve">Verduyn minimal medium </w:t>
      </w:r>
      <w:r w:rsidR="00C03B49" w:rsidRPr="00C03B49">
        <w:rPr>
          <w:rFonts w:cstheme="minorHAnsi"/>
          <w:lang w:val="en-GB"/>
        </w:rPr>
        <w:fldChar w:fldCharType="begin"/>
      </w:r>
      <w:r w:rsidR="00C03B49" w:rsidRPr="00C03B49">
        <w:rPr>
          <w:rFonts w:cstheme="minorHAnsi"/>
          <w:lang w:val="en-GB"/>
        </w:rPr>
        <w:instrText xml:space="preserve"> ADDIN ZOTERO_ITEM CSL_CITATION {"citationID":"9P6Gbu48","properties":{"formattedCitation":"(Canelas et al., 2009)","plainCitation":"(Canelas et al., 2009)","noteIndex":0},"citationItems":[{"id":72,"uris":["http://zotero.org/users/4526189/items/DGUUVPM2"],"uri":["http://zotero.org/users/4526189/items/DGUUVPM2"],"itemData":{"id":72,"type":"article-journal","container-title":"Analytical Chemistry","DOI":"10.1021/ac900999t","ISSN":"0003-2700, 1520-6882","issue":"17","language":"en","page":"7379-7389","source":"Crossref","title":"Quantitative Evaluation of Intracellular Metabolite Extraction Techniques for Yeast Metabolomics","volume":"81","author":[{"family":"Canelas","given":"André B."},{"family":"Pierick","given":"Angela","non-dropping-particle":"ten"},{"family":"Ras","given":"Cor"},{"family":"Seifar","given":"Reza M."},{"family":"Dam","given":"Jan C.","non-dropping-particle":"van"},{"family":"Gulik","given":"Walter M.","non-dropping-particle":"van"},{"family":"Heijnen","given":"Joseph J."}],"issued":{"date-parts":[["2009",9]]}}}],"schema":"https://github.com/citation-style-language/schema/raw/master/csl-citation.json"} </w:instrText>
      </w:r>
      <w:r w:rsidR="00C03B49" w:rsidRPr="00C03B49">
        <w:rPr>
          <w:rFonts w:cstheme="minorHAnsi"/>
          <w:lang w:val="en-GB"/>
        </w:rPr>
        <w:fldChar w:fldCharType="separate"/>
      </w:r>
      <w:r w:rsidR="00C03B49" w:rsidRPr="00C03B49">
        <w:rPr>
          <w:rFonts w:cstheme="minorHAnsi"/>
          <w:lang w:val="en-GB"/>
        </w:rPr>
        <w:t>(Canelas et al., 2009)</w:t>
      </w:r>
      <w:r w:rsidR="00C03B49" w:rsidRPr="00C03B49">
        <w:rPr>
          <w:rFonts w:cstheme="minorHAnsi"/>
          <w:lang w:val="en-GB"/>
        </w:rPr>
        <w:fldChar w:fldCharType="end"/>
      </w:r>
      <w:r w:rsidR="00C03B49" w:rsidRPr="00C03B49">
        <w:rPr>
          <w:rFonts w:cstheme="minorHAnsi"/>
          <w:lang w:val="en-GB"/>
        </w:rPr>
        <w:t xml:space="preserve"> </w:t>
      </w:r>
      <w:r w:rsidR="00C03B49" w:rsidRPr="00C03B49">
        <w:rPr>
          <w:rFonts w:cstheme="minorHAnsi"/>
          <w:lang w:val="en-GB"/>
        </w:rPr>
        <w:t xml:space="preserve">with a glucose concentration of 7.5 </w:t>
      </w:r>
      <w:r w:rsidR="00C03B49" w:rsidRPr="00C03B49">
        <w:rPr>
          <w:rFonts w:cstheme="minorHAnsi"/>
          <w:lang w:val="en-GB"/>
        </w:rPr>
        <w:t>g/L</w:t>
      </w:r>
      <w:r w:rsidR="00C03B49" w:rsidRPr="00C03B49">
        <w:rPr>
          <w:rFonts w:cstheme="minorHAnsi"/>
          <w:lang w:val="en-GB"/>
        </w:rPr>
        <w:t xml:space="preserve">. </w:t>
      </w:r>
      <w:r w:rsidRPr="00C03B49">
        <w:rPr>
          <w:rFonts w:cstheme="minorHAnsi"/>
          <w:lang w:val="en-GB"/>
        </w:rPr>
        <w:t xml:space="preserve">1L-Erlenmeyer flasks containing 100 mL medium </w:t>
      </w:r>
      <w:r>
        <w:rPr>
          <w:rFonts w:cstheme="minorHAnsi"/>
          <w:lang w:val="en-GB"/>
        </w:rPr>
        <w:t>were inoculated with cells</w:t>
      </w:r>
      <w:r w:rsidR="00C03B49" w:rsidRPr="00C03B49">
        <w:rPr>
          <w:rFonts w:cstheme="minorHAnsi"/>
          <w:lang w:val="en-GB"/>
        </w:rPr>
        <w:t xml:space="preserve"> from </w:t>
      </w:r>
      <w:r>
        <w:rPr>
          <w:rFonts w:cstheme="minorHAnsi"/>
          <w:lang w:val="en-GB"/>
        </w:rPr>
        <w:t>a</w:t>
      </w:r>
      <w:r w:rsidR="00C03B49" w:rsidRPr="00C03B49">
        <w:rPr>
          <w:rFonts w:cstheme="minorHAnsi"/>
          <w:lang w:val="en-GB"/>
        </w:rPr>
        <w:t xml:space="preserve"> cryovial</w:t>
      </w:r>
      <w:r>
        <w:rPr>
          <w:rFonts w:cstheme="minorHAnsi"/>
          <w:lang w:val="en-GB"/>
        </w:rPr>
        <w:t xml:space="preserve"> (glycerol, -80</w:t>
      </w:r>
      <w:r>
        <w:rPr>
          <w:rFonts w:cstheme="minorHAnsi"/>
          <w:vertAlign w:val="superscript"/>
          <w:lang w:val="en-GB"/>
        </w:rPr>
        <w:t>o</w:t>
      </w:r>
      <w:r>
        <w:rPr>
          <w:rFonts w:cstheme="minorHAnsi"/>
          <w:lang w:val="en-GB"/>
        </w:rPr>
        <w:t>C)</w:t>
      </w:r>
      <w:r w:rsidR="00C03B49" w:rsidRPr="00C03B49">
        <w:rPr>
          <w:rFonts w:cstheme="minorHAnsi"/>
          <w:lang w:val="en-GB"/>
        </w:rPr>
        <w:t xml:space="preserve"> </w:t>
      </w:r>
      <w:r w:rsidR="008F0C17">
        <w:rPr>
          <w:rFonts w:cstheme="minorHAnsi"/>
          <w:lang w:val="en-GB"/>
        </w:rPr>
        <w:t xml:space="preserve">and the inoculation cultures were subsequently </w:t>
      </w:r>
      <w:r w:rsidR="00C03B49" w:rsidRPr="00C03B49">
        <w:rPr>
          <w:rFonts w:cstheme="minorHAnsi"/>
          <w:lang w:val="en-GB"/>
        </w:rPr>
        <w:t>grown for 10 h</w:t>
      </w:r>
      <w:r w:rsidR="00C03B49" w:rsidRPr="00C03B49">
        <w:rPr>
          <w:rFonts w:cstheme="minorHAnsi"/>
          <w:lang w:val="en-GB"/>
        </w:rPr>
        <w:t xml:space="preserve"> </w:t>
      </w:r>
      <w:r w:rsidR="00C03B49" w:rsidRPr="00C03B49">
        <w:rPr>
          <w:rFonts w:cstheme="minorHAnsi"/>
          <w:lang w:val="en-GB"/>
        </w:rPr>
        <w:t xml:space="preserve">at 200 rpm and 30 °C. The </w:t>
      </w:r>
      <w:r w:rsidR="008F0C17">
        <w:rPr>
          <w:rFonts w:cstheme="minorHAnsi"/>
          <w:lang w:val="en-GB"/>
        </w:rPr>
        <w:t xml:space="preserve">inoculation </w:t>
      </w:r>
      <w:r w:rsidR="00C03B49" w:rsidRPr="00C03B49">
        <w:rPr>
          <w:rFonts w:cstheme="minorHAnsi"/>
          <w:lang w:val="en-GB"/>
        </w:rPr>
        <w:t>culture was used to inoculate a 7 L bioreactor (</w:t>
      </w:r>
      <w:proofErr w:type="spellStart"/>
      <w:r w:rsidR="00C03B49" w:rsidRPr="00C03B49">
        <w:rPr>
          <w:rFonts w:cstheme="minorHAnsi"/>
          <w:lang w:val="en-GB"/>
        </w:rPr>
        <w:t>Applikon</w:t>
      </w:r>
      <w:proofErr w:type="spellEnd"/>
      <w:r w:rsidR="00C03B49" w:rsidRPr="00C03B49">
        <w:rPr>
          <w:rFonts w:cstheme="minorHAnsi"/>
          <w:lang w:val="en-GB"/>
        </w:rPr>
        <w:t>, Schiedam, The</w:t>
      </w:r>
      <w:r w:rsidR="00C03B49" w:rsidRPr="00C03B49">
        <w:rPr>
          <w:rFonts w:cstheme="minorHAnsi"/>
          <w:lang w:val="en-GB"/>
        </w:rPr>
        <w:t xml:space="preserve"> </w:t>
      </w:r>
      <w:r w:rsidR="00C03B49" w:rsidRPr="00C03B49">
        <w:rPr>
          <w:rFonts w:cstheme="minorHAnsi"/>
          <w:lang w:val="en-GB"/>
        </w:rPr>
        <w:t xml:space="preserve">Netherlands) containing a working volume of </w:t>
      </w:r>
      <w:r w:rsidR="008F0C17">
        <w:rPr>
          <w:rFonts w:cstheme="minorHAnsi"/>
          <w:lang w:val="en-GB"/>
        </w:rPr>
        <w:t>4</w:t>
      </w:r>
      <w:r w:rsidR="00C03B49" w:rsidRPr="00C03B49">
        <w:rPr>
          <w:rFonts w:cstheme="minorHAnsi"/>
          <w:lang w:val="en-GB"/>
        </w:rPr>
        <w:t xml:space="preserve"> L. The</w:t>
      </w:r>
      <w:r w:rsidR="008F0C17">
        <w:rPr>
          <w:rFonts w:cstheme="minorHAnsi"/>
          <w:lang w:val="en-GB"/>
        </w:rPr>
        <w:t xml:space="preserve"> reactor was aerated with</w:t>
      </w:r>
      <w:r w:rsidR="00C03B49" w:rsidRPr="00C03B49">
        <w:rPr>
          <w:rFonts w:cstheme="minorHAnsi"/>
          <w:lang w:val="en-GB"/>
        </w:rPr>
        <w:t xml:space="preserve"> </w:t>
      </w:r>
      <w:r w:rsidR="00C03B49" w:rsidRPr="00C03B49">
        <w:rPr>
          <w:rFonts w:cstheme="minorHAnsi"/>
          <w:lang w:val="en-GB"/>
        </w:rPr>
        <w:t xml:space="preserve">pressurized air at </w:t>
      </w:r>
      <w:r w:rsidR="00C03B49" w:rsidRPr="00C03B49">
        <w:rPr>
          <w:rFonts w:cstheme="minorHAnsi"/>
          <w:lang w:val="en-GB"/>
        </w:rPr>
        <w:t>1 L/min</w:t>
      </w:r>
      <w:r w:rsidR="00C03B49" w:rsidRPr="00C03B49">
        <w:rPr>
          <w:rFonts w:cstheme="minorHAnsi"/>
          <w:lang w:val="en-GB"/>
        </w:rPr>
        <w:t xml:space="preserve"> (0.25</w:t>
      </w:r>
      <w:r>
        <w:rPr>
          <w:rFonts w:cstheme="minorHAnsi"/>
          <w:lang w:val="en-GB"/>
        </w:rPr>
        <w:t xml:space="preserve"> </w:t>
      </w:r>
      <w:proofErr w:type="spellStart"/>
      <w:r w:rsidR="00C03B49" w:rsidRPr="00C03B49">
        <w:rPr>
          <w:rFonts w:cstheme="minorHAnsi"/>
          <w:lang w:val="en-GB"/>
        </w:rPr>
        <w:t>vvm</w:t>
      </w:r>
      <w:proofErr w:type="spellEnd"/>
      <w:r w:rsidR="00C03B49" w:rsidRPr="00C03B49">
        <w:rPr>
          <w:rFonts w:cstheme="minorHAnsi"/>
          <w:lang w:val="en-GB"/>
        </w:rPr>
        <w:t>)</w:t>
      </w:r>
      <w:r w:rsidR="008F0C17">
        <w:rPr>
          <w:rFonts w:cstheme="minorHAnsi"/>
          <w:lang w:val="en-GB"/>
        </w:rPr>
        <w:t xml:space="preserve"> </w:t>
      </w:r>
      <w:r w:rsidR="008F0C17" w:rsidRPr="008F0C17">
        <w:rPr>
          <w:rFonts w:cstheme="minorHAnsi"/>
          <w:lang w:val="en-GB"/>
        </w:rPr>
        <w:t>using a Smart series mass flow controller 5850S (Brooks Instrument, PA, USA)</w:t>
      </w:r>
      <w:r w:rsidR="008F0C17">
        <w:rPr>
          <w:rFonts w:cstheme="minorHAnsi"/>
          <w:lang w:val="en-GB"/>
        </w:rPr>
        <w:t>. The reactor was operated at 0.3 bar overpressure, at 30</w:t>
      </w:r>
      <w:r w:rsidR="008F0C17">
        <w:rPr>
          <w:rFonts w:cstheme="minorHAnsi"/>
          <w:vertAlign w:val="superscript"/>
          <w:lang w:val="en-GB"/>
        </w:rPr>
        <w:t>o</w:t>
      </w:r>
      <w:r w:rsidR="008F0C17">
        <w:rPr>
          <w:rFonts w:cstheme="minorHAnsi"/>
          <w:lang w:val="en-GB"/>
        </w:rPr>
        <w:t xml:space="preserve">C, with a </w:t>
      </w:r>
      <w:r w:rsidR="00C03B49" w:rsidRPr="00C03B49">
        <w:rPr>
          <w:rFonts w:cstheme="minorHAnsi"/>
          <w:lang w:val="en-GB"/>
        </w:rPr>
        <w:t xml:space="preserve">stirrer speed of 600 rpm. The </w:t>
      </w:r>
      <w:r w:rsidR="008F0C17">
        <w:rPr>
          <w:rFonts w:cstheme="minorHAnsi"/>
          <w:lang w:val="en-GB"/>
        </w:rPr>
        <w:t xml:space="preserve">pH of the </w:t>
      </w:r>
      <w:r w:rsidR="00C03B49" w:rsidRPr="00C03B49">
        <w:rPr>
          <w:rFonts w:cstheme="minorHAnsi"/>
          <w:lang w:val="en-GB"/>
        </w:rPr>
        <w:t>broth was</w:t>
      </w:r>
      <w:r w:rsidR="00C03B49" w:rsidRPr="00C03B49">
        <w:rPr>
          <w:rFonts w:cstheme="minorHAnsi"/>
          <w:lang w:val="en-GB"/>
        </w:rPr>
        <w:t xml:space="preserve"> </w:t>
      </w:r>
      <w:r w:rsidR="00C03B49" w:rsidRPr="00C03B49">
        <w:rPr>
          <w:rFonts w:cstheme="minorHAnsi"/>
          <w:lang w:val="en-GB"/>
        </w:rPr>
        <w:t>maintained at 5.0 by adding either 4M KOH or 2M H</w:t>
      </w:r>
      <w:r w:rsidR="00C03B49" w:rsidRPr="00FA5876">
        <w:rPr>
          <w:rFonts w:cstheme="minorHAnsi"/>
          <w:vertAlign w:val="subscript"/>
          <w:lang w:val="en-GB"/>
        </w:rPr>
        <w:t>2</w:t>
      </w:r>
      <w:r w:rsidR="00C03B49" w:rsidRPr="00C03B49">
        <w:rPr>
          <w:rFonts w:cstheme="minorHAnsi"/>
          <w:lang w:val="en-GB"/>
        </w:rPr>
        <w:t>SO</w:t>
      </w:r>
      <w:r w:rsidR="00C03B49" w:rsidRPr="00FA5876">
        <w:rPr>
          <w:rFonts w:cstheme="minorHAnsi"/>
          <w:vertAlign w:val="subscript"/>
          <w:lang w:val="en-GB"/>
        </w:rPr>
        <w:t>4</w:t>
      </w:r>
      <w:r w:rsidR="00C03B49" w:rsidRPr="00C03B49">
        <w:rPr>
          <w:rFonts w:cstheme="minorHAnsi"/>
          <w:lang w:val="en-GB"/>
        </w:rPr>
        <w:t xml:space="preserve">. </w:t>
      </w:r>
      <w:r w:rsidR="008F0C17">
        <w:rPr>
          <w:rFonts w:cstheme="minorHAnsi"/>
          <w:lang w:val="en-GB"/>
        </w:rPr>
        <w:t>Once</w:t>
      </w:r>
      <w:r w:rsidR="00C03B49" w:rsidRPr="00C03B49">
        <w:rPr>
          <w:rFonts w:cstheme="minorHAnsi"/>
          <w:lang w:val="en-GB"/>
        </w:rPr>
        <w:t xml:space="preserve"> the batch phase was complete</w:t>
      </w:r>
      <w:r w:rsidR="008F0C17">
        <w:rPr>
          <w:rFonts w:cstheme="minorHAnsi"/>
          <w:lang w:val="en-GB"/>
        </w:rPr>
        <w:t>d</w:t>
      </w:r>
      <w:r w:rsidR="00C03B49" w:rsidRPr="00C03B49">
        <w:rPr>
          <w:rFonts w:cstheme="minorHAnsi"/>
          <w:lang w:val="en-GB"/>
        </w:rPr>
        <w:t xml:space="preserve"> </w:t>
      </w:r>
      <w:r w:rsidR="00C03B49" w:rsidRPr="00C03B49">
        <w:rPr>
          <w:rFonts w:cstheme="minorHAnsi"/>
          <w:lang w:val="en-GB"/>
        </w:rPr>
        <w:t xml:space="preserve">(indicated by </w:t>
      </w:r>
      <w:r w:rsidR="008F0C17">
        <w:rPr>
          <w:rFonts w:cstheme="minorHAnsi"/>
          <w:lang w:val="en-GB"/>
        </w:rPr>
        <w:t>a</w:t>
      </w:r>
      <w:r w:rsidR="00C03B49" w:rsidRPr="00C03B49">
        <w:rPr>
          <w:rFonts w:cstheme="minorHAnsi"/>
          <w:lang w:val="en-GB"/>
        </w:rPr>
        <w:t xml:space="preserve"> fast</w:t>
      </w:r>
      <w:r w:rsidR="008F0C17">
        <w:rPr>
          <w:rFonts w:cstheme="minorHAnsi"/>
          <w:lang w:val="en-GB"/>
        </w:rPr>
        <w:t xml:space="preserve"> decrease in</w:t>
      </w:r>
      <w:r w:rsidR="00C03B49" w:rsidRPr="00C03B49">
        <w:rPr>
          <w:rFonts w:cstheme="minorHAnsi"/>
          <w:lang w:val="en-GB"/>
        </w:rPr>
        <w:t xml:space="preserve"> CO</w:t>
      </w:r>
      <w:r w:rsidR="00C03B49" w:rsidRPr="00FA5876">
        <w:rPr>
          <w:rFonts w:cstheme="minorHAnsi"/>
          <w:vertAlign w:val="subscript"/>
          <w:lang w:val="en-GB"/>
        </w:rPr>
        <w:t>2</w:t>
      </w:r>
      <w:r w:rsidR="00C03B49" w:rsidRPr="00C03B49">
        <w:rPr>
          <w:rFonts w:cstheme="minorHAnsi"/>
          <w:lang w:val="en-GB"/>
        </w:rPr>
        <w:t xml:space="preserve"> </w:t>
      </w:r>
      <w:r w:rsidR="008F0C17">
        <w:rPr>
          <w:rFonts w:cstheme="minorHAnsi"/>
          <w:lang w:val="en-GB"/>
        </w:rPr>
        <w:t>signal</w:t>
      </w:r>
      <w:r w:rsidR="00C03B49" w:rsidRPr="00C03B49">
        <w:rPr>
          <w:rFonts w:cstheme="minorHAnsi"/>
          <w:lang w:val="en-GB"/>
        </w:rPr>
        <w:t xml:space="preserve"> and</w:t>
      </w:r>
      <w:r w:rsidR="008F0C17">
        <w:rPr>
          <w:rFonts w:cstheme="minorHAnsi"/>
          <w:lang w:val="en-GB"/>
        </w:rPr>
        <w:t xml:space="preserve"> a sharp increase in </w:t>
      </w:r>
      <w:r w:rsidR="00C03B49" w:rsidRPr="00C03B49">
        <w:rPr>
          <w:rFonts w:cstheme="minorHAnsi"/>
          <w:lang w:val="en-GB"/>
        </w:rPr>
        <w:t>dissolved oxygen (DO)),</w:t>
      </w:r>
      <w:r w:rsidR="00C03B49" w:rsidRPr="00C03B49">
        <w:rPr>
          <w:rFonts w:cstheme="minorHAnsi"/>
          <w:lang w:val="en-GB"/>
        </w:rPr>
        <w:t xml:space="preserve"> </w:t>
      </w:r>
      <w:r w:rsidR="00C03B49" w:rsidRPr="00C03B49">
        <w:rPr>
          <w:rFonts w:cstheme="minorHAnsi"/>
          <w:lang w:val="en-GB"/>
        </w:rPr>
        <w:t>the chemostat phase (steady-state) was started at a dilution rate of 0.1 h</w:t>
      </w:r>
      <w:r w:rsidRPr="00FA5876">
        <w:rPr>
          <w:rFonts w:cstheme="minorHAnsi"/>
          <w:vertAlign w:val="superscript"/>
          <w:lang w:val="en-GB"/>
        </w:rPr>
        <w:t>-1</w:t>
      </w:r>
      <w:r w:rsidR="00C03B49" w:rsidRPr="00C03B49">
        <w:rPr>
          <w:rFonts w:cstheme="minorHAnsi"/>
          <w:lang w:val="en-GB"/>
        </w:rPr>
        <w:t xml:space="preserve"> for 5</w:t>
      </w:r>
      <w:r w:rsidR="00C03B49">
        <w:rPr>
          <w:rFonts w:cstheme="minorHAnsi"/>
          <w:lang w:val="en-GB"/>
        </w:rPr>
        <w:t>0</w:t>
      </w:r>
      <w:r w:rsidR="00C03B49" w:rsidRPr="00C03B49">
        <w:rPr>
          <w:rFonts w:cstheme="minorHAnsi"/>
          <w:lang w:val="en-GB"/>
        </w:rPr>
        <w:t xml:space="preserve"> h. After about 5</w:t>
      </w:r>
      <w:r>
        <w:rPr>
          <w:rFonts w:cstheme="minorHAnsi"/>
          <w:lang w:val="en-GB"/>
        </w:rPr>
        <w:t xml:space="preserve"> </w:t>
      </w:r>
      <w:r w:rsidR="00C03B49" w:rsidRPr="00C03B49">
        <w:rPr>
          <w:rFonts w:cstheme="minorHAnsi"/>
          <w:lang w:val="en-GB"/>
        </w:rPr>
        <w:t>residence times, sampling for</w:t>
      </w:r>
      <w:r w:rsidR="00344467">
        <w:rPr>
          <w:rFonts w:cstheme="minorHAnsi"/>
          <w:lang w:val="en-GB"/>
        </w:rPr>
        <w:t xml:space="preserve"> proteomics</w:t>
      </w:r>
      <w:r w:rsidR="00C03B49" w:rsidRPr="00C03B49">
        <w:rPr>
          <w:rFonts w:cstheme="minorHAnsi"/>
          <w:lang w:val="en-GB"/>
        </w:rPr>
        <w:t xml:space="preserve"> was </w:t>
      </w:r>
      <w:r w:rsidR="00C03B49" w:rsidRPr="00C03B49">
        <w:rPr>
          <w:rFonts w:cstheme="minorHAnsi"/>
          <w:lang w:val="en-GB"/>
        </w:rPr>
        <w:t>p</w:t>
      </w:r>
      <w:r w:rsidR="00C03B49" w:rsidRPr="00C03B49">
        <w:rPr>
          <w:rFonts w:cstheme="minorHAnsi"/>
          <w:lang w:val="en-GB"/>
        </w:rPr>
        <w:t>erformed.</w:t>
      </w:r>
    </w:p>
    <w:p w14:paraId="36DCDB65" w14:textId="77777777" w:rsidR="00C03B49" w:rsidRPr="00C03B49" w:rsidRDefault="00C03B49" w:rsidP="00344467">
      <w:pPr>
        <w:autoSpaceDE w:val="0"/>
        <w:autoSpaceDN w:val="0"/>
        <w:adjustRightInd w:val="0"/>
        <w:spacing w:after="120" w:line="240" w:lineRule="auto"/>
        <w:jc w:val="both"/>
        <w:rPr>
          <w:rFonts w:cstheme="minorHAnsi"/>
          <w:lang w:val="en-GB"/>
        </w:rPr>
      </w:pPr>
    </w:p>
    <w:p w14:paraId="52505287" w14:textId="05BED36B" w:rsidR="00C03B49" w:rsidRPr="00FA5876" w:rsidRDefault="00344467" w:rsidP="00344467">
      <w:pPr>
        <w:autoSpaceDE w:val="0"/>
        <w:autoSpaceDN w:val="0"/>
        <w:adjustRightInd w:val="0"/>
        <w:spacing w:after="120" w:line="240" w:lineRule="auto"/>
        <w:jc w:val="both"/>
        <w:rPr>
          <w:rFonts w:cstheme="minorHAnsi"/>
          <w:u w:val="single"/>
          <w:lang w:val="en-GB"/>
        </w:rPr>
      </w:pPr>
      <w:r>
        <w:rPr>
          <w:rFonts w:cstheme="minorHAnsi"/>
          <w:u w:val="single"/>
          <w:lang w:val="en-GB"/>
        </w:rPr>
        <w:t xml:space="preserve">Dynamic </w:t>
      </w:r>
      <w:r w:rsidR="00C03B49" w:rsidRPr="00FA5876">
        <w:rPr>
          <w:rFonts w:cstheme="minorHAnsi"/>
          <w:u w:val="single"/>
          <w:lang w:val="en-GB"/>
        </w:rPr>
        <w:t>Feast Famine Setup</w:t>
      </w:r>
    </w:p>
    <w:p w14:paraId="55C549F4" w14:textId="6E52757B" w:rsidR="00C03B49" w:rsidRPr="00C03B49" w:rsidRDefault="00C03B49" w:rsidP="00344467">
      <w:pPr>
        <w:autoSpaceDE w:val="0"/>
        <w:autoSpaceDN w:val="0"/>
        <w:adjustRightInd w:val="0"/>
        <w:spacing w:after="120" w:line="240" w:lineRule="auto"/>
        <w:jc w:val="both"/>
        <w:rPr>
          <w:rFonts w:cstheme="minorHAnsi"/>
          <w:lang w:val="en-GB"/>
        </w:rPr>
      </w:pPr>
      <w:r w:rsidRPr="00C03B49">
        <w:rPr>
          <w:rFonts w:cstheme="minorHAnsi"/>
          <w:lang w:val="en-GB"/>
        </w:rPr>
        <w:t>After five residence times</w:t>
      </w:r>
      <w:r w:rsidR="00344467">
        <w:rPr>
          <w:rFonts w:cstheme="minorHAnsi"/>
          <w:lang w:val="en-GB"/>
        </w:rPr>
        <w:t xml:space="preserve"> (50 h)</w:t>
      </w:r>
      <w:r w:rsidRPr="00C03B49">
        <w:rPr>
          <w:rFonts w:cstheme="minorHAnsi"/>
          <w:lang w:val="en-GB"/>
        </w:rPr>
        <w:t xml:space="preserve"> of </w:t>
      </w:r>
      <w:r w:rsidR="00344467">
        <w:rPr>
          <w:rFonts w:cstheme="minorHAnsi"/>
          <w:lang w:val="en-GB"/>
        </w:rPr>
        <w:t>chemostat</w:t>
      </w:r>
      <w:r w:rsidRPr="00C03B49">
        <w:rPr>
          <w:rFonts w:cstheme="minorHAnsi"/>
          <w:lang w:val="en-GB"/>
        </w:rPr>
        <w:t xml:space="preserve"> feeding, the regime was changed to </w:t>
      </w:r>
      <w:r w:rsidR="00344467">
        <w:rPr>
          <w:rFonts w:cstheme="minorHAnsi"/>
          <w:lang w:val="en-GB"/>
        </w:rPr>
        <w:t>a so-called</w:t>
      </w:r>
      <w:r w:rsidRPr="00C03B49">
        <w:rPr>
          <w:rFonts w:cstheme="minorHAnsi"/>
          <w:lang w:val="en-GB"/>
        </w:rPr>
        <w:t xml:space="preserve"> repetitive feast/famine phase </w:t>
      </w:r>
      <w:r w:rsidR="00FA5876">
        <w:rPr>
          <w:rFonts w:cstheme="minorHAnsi"/>
          <w:lang w:val="en-GB"/>
        </w:rPr>
        <w:fldChar w:fldCharType="begin"/>
      </w:r>
      <w:r w:rsidR="00FA5876">
        <w:rPr>
          <w:rFonts w:cstheme="minorHAnsi"/>
          <w:lang w:val="en-GB"/>
        </w:rPr>
        <w:instrText xml:space="preserve"> ADDIN ZOTERO_ITEM CSL_CITATION {"citationID":"NVjRqyeK","properties":{"formattedCitation":"(Suarez-Mendez et al., 2014)","plainCitation":"(Suarez-Mendez et al., 2014)","noteIndex":0},"citationItems":[{"id":120,"uris":["http://zotero.org/users/4526189/items/A2IAZZ3I"],"uri":["http://zotero.org/users/4526189/items/A2IAZZ3I"],"itemData":{"id":120,"type":"article-journal","container-title":"Metabolites","DOI":"10.3390/metabo4020347","ISSN":"2218-1989","issue":"2","language":"en","page":"347-372","source":"Crossref","title":"Fast “Feast/Famine” Cycles for Studying Microbial Physiology Under Dynamic Conditions: A Case Study with Saccharomyces cerevisiae","title-short":"Fast “Feast/Famine” Cycles for Studying Microbial Physiology Under Dynamic Conditions","volume":"4","author":[{"family":"Suarez-Mendez","given":"Camilo"},{"family":"Sousa","given":"Andre"},{"family":"Heijnen","given":"Joseph"},{"family":"Wahl","given":"Aljoscha"}],"issued":{"date-parts":[["2014",5,15]]}}}],"schema":"https://github.com/citation-style-language/schema/raw/master/csl-citation.json"} </w:instrText>
      </w:r>
      <w:r w:rsidR="00FA5876">
        <w:rPr>
          <w:rFonts w:cstheme="minorHAnsi"/>
          <w:lang w:val="en-GB"/>
        </w:rPr>
        <w:fldChar w:fldCharType="separate"/>
      </w:r>
      <w:r w:rsidR="00FA5876" w:rsidRPr="00FA5876">
        <w:rPr>
          <w:rFonts w:ascii="Calibri" w:hAnsi="Calibri" w:cs="Calibri"/>
          <w:lang w:val="en-GB"/>
        </w:rPr>
        <w:t>(Suarez-Mendez et al., 2014)</w:t>
      </w:r>
      <w:r w:rsidR="00FA5876">
        <w:rPr>
          <w:rFonts w:cstheme="minorHAnsi"/>
          <w:lang w:val="en-GB"/>
        </w:rPr>
        <w:fldChar w:fldCharType="end"/>
      </w:r>
      <w:r w:rsidR="00344467">
        <w:rPr>
          <w:rFonts w:cstheme="minorHAnsi"/>
          <w:lang w:val="en-GB"/>
        </w:rPr>
        <w:t xml:space="preserve">, during which </w:t>
      </w:r>
      <w:r w:rsidR="00344467" w:rsidRPr="00344467">
        <w:rPr>
          <w:rFonts w:cstheme="minorHAnsi"/>
          <w:lang w:val="en-GB"/>
        </w:rPr>
        <w:t>Successive cycles of 400 s were applied by a continuous medium feeding for 20 s, followed by a period of 380 s of no feeding</w:t>
      </w:r>
      <w:r w:rsidR="00344467">
        <w:rPr>
          <w:rFonts w:cstheme="minorHAnsi"/>
          <w:lang w:val="en-GB"/>
        </w:rPr>
        <w:t>.</w:t>
      </w:r>
      <w:r w:rsidRPr="00C03B49">
        <w:rPr>
          <w:rFonts w:cstheme="minorHAnsi"/>
          <w:lang w:val="en-GB"/>
        </w:rPr>
        <w:t xml:space="preserve"> The medium </w:t>
      </w:r>
      <w:r w:rsidR="00344467">
        <w:rPr>
          <w:rFonts w:cstheme="minorHAnsi"/>
          <w:lang w:val="en-GB"/>
        </w:rPr>
        <w:t>pump</w:t>
      </w:r>
      <w:r w:rsidRPr="00C03B49">
        <w:rPr>
          <w:rFonts w:cstheme="minorHAnsi"/>
          <w:lang w:val="en-GB"/>
        </w:rPr>
        <w:t xml:space="preserve"> </w:t>
      </w:r>
      <w:r w:rsidR="00344467">
        <w:rPr>
          <w:rFonts w:cstheme="minorHAnsi"/>
          <w:lang w:val="en-GB"/>
        </w:rPr>
        <w:t>was controlled</w:t>
      </w:r>
      <w:r w:rsidRPr="00C03B49">
        <w:rPr>
          <w:rFonts w:cstheme="minorHAnsi"/>
          <w:lang w:val="en-GB"/>
        </w:rPr>
        <w:t xml:space="preserve"> using an automatic timer (PTC-1A, Programmable timing controller,</w:t>
      </w:r>
      <w:r w:rsidRPr="00C03B49">
        <w:rPr>
          <w:rFonts w:cstheme="minorHAnsi"/>
          <w:lang w:val="en-GB"/>
        </w:rPr>
        <w:t xml:space="preserve"> </w:t>
      </w:r>
      <w:r w:rsidRPr="00C03B49">
        <w:rPr>
          <w:rFonts w:cstheme="minorHAnsi"/>
          <w:lang w:val="en-GB"/>
        </w:rPr>
        <w:t>Omega Engineering Inc., Stamford, CT, USA). During the 20-second feeding period, 43 ± 1 mL of fresh medium were added.</w:t>
      </w:r>
      <w:r w:rsidRPr="00C03B49">
        <w:rPr>
          <w:rFonts w:cstheme="minorHAnsi"/>
          <w:lang w:val="en-GB"/>
        </w:rPr>
        <w:t xml:space="preserve"> </w:t>
      </w:r>
      <w:r w:rsidRPr="00C03B49">
        <w:rPr>
          <w:rFonts w:cstheme="minorHAnsi"/>
          <w:lang w:val="en-GB"/>
        </w:rPr>
        <w:t xml:space="preserve">The same volume was </w:t>
      </w:r>
      <w:r w:rsidR="00344467">
        <w:rPr>
          <w:rFonts w:cstheme="minorHAnsi"/>
          <w:lang w:val="en-GB"/>
        </w:rPr>
        <w:t>subsequently</w:t>
      </w:r>
      <w:r w:rsidRPr="00C03B49">
        <w:rPr>
          <w:rFonts w:cstheme="minorHAnsi"/>
          <w:lang w:val="en-GB"/>
        </w:rPr>
        <w:t xml:space="preserve"> withdrawn during the first 260s at a flow rate of 0.166 ± 0.001 mL s</w:t>
      </w:r>
      <w:r w:rsidRPr="00FA5876">
        <w:rPr>
          <w:rFonts w:cstheme="minorHAnsi"/>
          <w:vertAlign w:val="superscript"/>
          <w:lang w:val="en-GB"/>
        </w:rPr>
        <w:t>−1</w:t>
      </w:r>
      <w:r w:rsidRPr="00C03B49">
        <w:rPr>
          <w:rFonts w:cstheme="minorHAnsi"/>
          <w:lang w:val="en-GB"/>
        </w:rPr>
        <w:t xml:space="preserve"> </w:t>
      </w:r>
      <w:r w:rsidRPr="00C03B49">
        <w:rPr>
          <w:rFonts w:cstheme="minorHAnsi"/>
          <w:lang w:val="en-GB"/>
        </w:rPr>
        <w:t xml:space="preserve">maintaining the broth volume nearly constant </w:t>
      </w:r>
      <w:r w:rsidR="00FA5876">
        <w:rPr>
          <w:rFonts w:cstheme="minorHAnsi"/>
          <w:lang w:val="en-GB"/>
        </w:rPr>
        <w:t>at 4 L.</w:t>
      </w:r>
      <w:r w:rsidR="00344467">
        <w:rPr>
          <w:rFonts w:cstheme="minorHAnsi"/>
          <w:lang w:val="en-GB"/>
        </w:rPr>
        <w:t xml:space="preserve"> After about 5 residence times, sampling </w:t>
      </w:r>
      <w:r w:rsidR="00344467" w:rsidRPr="00C03B49">
        <w:rPr>
          <w:rFonts w:cstheme="minorHAnsi"/>
          <w:lang w:val="en-GB"/>
        </w:rPr>
        <w:t xml:space="preserve">for </w:t>
      </w:r>
      <w:r w:rsidR="00344467">
        <w:rPr>
          <w:rFonts w:cstheme="minorHAnsi"/>
          <w:lang w:val="en-GB"/>
        </w:rPr>
        <w:t>proteomics</w:t>
      </w:r>
      <w:r w:rsidR="00344467" w:rsidRPr="00C03B49">
        <w:rPr>
          <w:rFonts w:cstheme="minorHAnsi"/>
          <w:lang w:val="en-GB"/>
        </w:rPr>
        <w:t xml:space="preserve"> was performed.</w:t>
      </w:r>
    </w:p>
    <w:p w14:paraId="4885C8C0" w14:textId="77777777" w:rsidR="00C03B49" w:rsidRPr="00C03B49" w:rsidRDefault="00C03B49" w:rsidP="00344467">
      <w:pPr>
        <w:spacing w:after="120"/>
        <w:jc w:val="both"/>
        <w:rPr>
          <w:rFonts w:cstheme="minorHAnsi"/>
          <w:lang w:val="en-GB"/>
        </w:rPr>
      </w:pPr>
    </w:p>
    <w:p w14:paraId="79D4D14C" w14:textId="0CB2F5A1" w:rsidR="00130CF0" w:rsidRPr="00FA5876" w:rsidRDefault="00130CF0" w:rsidP="00344467">
      <w:pPr>
        <w:spacing w:after="120"/>
        <w:jc w:val="both"/>
        <w:rPr>
          <w:rFonts w:cstheme="minorHAnsi"/>
          <w:u w:val="single"/>
          <w:lang w:val="en-GB"/>
        </w:rPr>
      </w:pPr>
      <w:r w:rsidRPr="00FA5876">
        <w:rPr>
          <w:rFonts w:cstheme="minorHAnsi"/>
          <w:u w:val="single"/>
          <w:lang w:val="en-GB"/>
        </w:rPr>
        <w:t>Proteomics analysis</w:t>
      </w:r>
    </w:p>
    <w:p w14:paraId="4248182B" w14:textId="0A7CB7AF" w:rsidR="00130CF0" w:rsidRPr="00C03B49" w:rsidRDefault="00130CF0" w:rsidP="00344467">
      <w:pPr>
        <w:spacing w:after="120"/>
        <w:jc w:val="both"/>
        <w:rPr>
          <w:rFonts w:cstheme="minorHAnsi"/>
          <w:lang w:val="en-GB"/>
        </w:rPr>
      </w:pPr>
      <w:r w:rsidRPr="00C03B49">
        <w:rPr>
          <w:rFonts w:cstheme="minorHAnsi"/>
          <w:lang w:val="en-GB"/>
        </w:rPr>
        <w:t xml:space="preserve">For each sample, </w:t>
      </w:r>
      <w:r w:rsidR="00EB238A" w:rsidRPr="00C03B49">
        <w:rPr>
          <w:rFonts w:cstheme="minorHAnsi"/>
          <w:lang w:val="en-GB"/>
        </w:rPr>
        <w:t>a sample normalized to 10 OD units was withdrawn into</w:t>
      </w:r>
      <w:r w:rsidRPr="00C03B49">
        <w:rPr>
          <w:rFonts w:cstheme="minorHAnsi"/>
          <w:lang w:val="en-GB"/>
        </w:rPr>
        <w:t xml:space="preserve"> a</w:t>
      </w:r>
      <w:r w:rsidR="00EB238A" w:rsidRPr="00C03B49">
        <w:rPr>
          <w:rFonts w:cstheme="minorHAnsi"/>
          <w:lang w:val="en-GB"/>
        </w:rPr>
        <w:t xml:space="preserve">n </w:t>
      </w:r>
      <w:proofErr w:type="spellStart"/>
      <w:r w:rsidR="00EB238A" w:rsidRPr="00C03B49">
        <w:rPr>
          <w:rFonts w:cstheme="minorHAnsi"/>
          <w:lang w:val="en-GB"/>
        </w:rPr>
        <w:t>eppendorf</w:t>
      </w:r>
      <w:proofErr w:type="spellEnd"/>
      <w:r w:rsidRPr="00C03B49">
        <w:rPr>
          <w:rFonts w:cstheme="minorHAnsi"/>
          <w:lang w:val="en-GB"/>
        </w:rPr>
        <w:t xml:space="preserve"> tube and immediately centrifuged (Heraeus </w:t>
      </w:r>
      <w:proofErr w:type="spellStart"/>
      <w:r w:rsidRPr="00C03B49">
        <w:rPr>
          <w:rFonts w:cstheme="minorHAnsi"/>
          <w:lang w:val="en-GB"/>
        </w:rPr>
        <w:t>Biofuge</w:t>
      </w:r>
      <w:proofErr w:type="spellEnd"/>
      <w:r w:rsidRPr="00C03B49">
        <w:rPr>
          <w:rFonts w:cstheme="minorHAnsi"/>
          <w:lang w:val="en-GB"/>
        </w:rPr>
        <w:t xml:space="preserve"> Stratos centrifuge) at </w:t>
      </w:r>
      <w:r w:rsidR="00126B46" w:rsidRPr="00C03B49">
        <w:rPr>
          <w:rFonts w:cstheme="minorHAnsi"/>
          <w:lang w:val="en-GB"/>
        </w:rPr>
        <w:t>8</w:t>
      </w:r>
      <w:r w:rsidRPr="00C03B49">
        <w:rPr>
          <w:rFonts w:cstheme="minorHAnsi"/>
          <w:lang w:val="en-GB"/>
        </w:rPr>
        <w:t>000 g for 5 min at 4</w:t>
      </w:r>
      <w:r w:rsidRPr="00C03B49">
        <w:rPr>
          <w:rFonts w:cstheme="minorHAnsi"/>
          <w:vertAlign w:val="superscript"/>
          <w:lang w:val="en-GB"/>
        </w:rPr>
        <w:t>o</w:t>
      </w:r>
      <w:r w:rsidRPr="00C03B49">
        <w:rPr>
          <w:rFonts w:cstheme="minorHAnsi"/>
          <w:lang w:val="en-GB"/>
        </w:rPr>
        <w:t xml:space="preserve">C. </w:t>
      </w:r>
      <w:r w:rsidR="00EB238A" w:rsidRPr="00C03B49">
        <w:rPr>
          <w:rFonts w:cstheme="minorHAnsi"/>
          <w:lang w:val="en-GB"/>
        </w:rPr>
        <w:t>S</w:t>
      </w:r>
      <w:r w:rsidRPr="00C03B49">
        <w:rPr>
          <w:rFonts w:cstheme="minorHAnsi"/>
          <w:lang w:val="en-GB"/>
        </w:rPr>
        <w:t>upernatant was discarded and the pellet was</w:t>
      </w:r>
      <w:r w:rsidR="00EB238A" w:rsidRPr="00C03B49">
        <w:rPr>
          <w:rFonts w:cstheme="minorHAnsi"/>
          <w:lang w:val="en-GB"/>
        </w:rPr>
        <w:t xml:space="preserve"> subsequently</w:t>
      </w:r>
      <w:r w:rsidRPr="00C03B49">
        <w:rPr>
          <w:rFonts w:cstheme="minorHAnsi"/>
          <w:lang w:val="en-GB"/>
        </w:rPr>
        <w:t xml:space="preserve"> resuspended in </w:t>
      </w:r>
      <w:r w:rsidR="00EB238A" w:rsidRPr="00C03B49">
        <w:rPr>
          <w:rFonts w:cstheme="minorHAnsi"/>
          <w:lang w:val="en-GB"/>
        </w:rPr>
        <w:t>2</w:t>
      </w:r>
      <w:r w:rsidRPr="00C03B49">
        <w:rPr>
          <w:rFonts w:cstheme="minorHAnsi"/>
          <w:lang w:val="en-GB"/>
        </w:rPr>
        <w:t xml:space="preserve"> mL </w:t>
      </w:r>
      <w:r w:rsidR="00EB238A" w:rsidRPr="00C03B49">
        <w:rPr>
          <w:rFonts w:cstheme="minorHAnsi"/>
          <w:lang w:val="en-GB"/>
        </w:rPr>
        <w:t>saline solution (0.9% NaCl)</w:t>
      </w:r>
      <w:r w:rsidRPr="00C03B49">
        <w:rPr>
          <w:rFonts w:cstheme="minorHAnsi"/>
          <w:lang w:val="en-GB"/>
        </w:rPr>
        <w:t xml:space="preserve"> (</w:t>
      </w:r>
      <w:r w:rsidR="00126B46" w:rsidRPr="00C03B49">
        <w:rPr>
          <w:rFonts w:cstheme="minorHAnsi"/>
          <w:lang w:val="en-GB"/>
        </w:rPr>
        <w:t>cooled beforehand</w:t>
      </w:r>
      <w:r w:rsidRPr="00C03B49">
        <w:rPr>
          <w:rFonts w:cstheme="minorHAnsi"/>
          <w:lang w:val="en-GB"/>
        </w:rPr>
        <w:t xml:space="preserve"> at 4</w:t>
      </w:r>
      <w:r w:rsidRPr="00C03B49">
        <w:rPr>
          <w:rFonts w:cstheme="minorHAnsi"/>
          <w:vertAlign w:val="superscript"/>
          <w:lang w:val="en-GB"/>
        </w:rPr>
        <w:t>o</w:t>
      </w:r>
      <w:r w:rsidRPr="00C03B49">
        <w:rPr>
          <w:rFonts w:cstheme="minorHAnsi"/>
          <w:lang w:val="en-GB"/>
        </w:rPr>
        <w:t xml:space="preserve">C) and centrifuged again </w:t>
      </w:r>
      <w:r w:rsidR="00126B46" w:rsidRPr="00C03B49">
        <w:rPr>
          <w:rFonts w:cstheme="minorHAnsi"/>
          <w:lang w:val="en-GB"/>
        </w:rPr>
        <w:t>(</w:t>
      </w:r>
      <w:r w:rsidR="00126B46" w:rsidRPr="00C03B49">
        <w:rPr>
          <w:rFonts w:cstheme="minorHAnsi"/>
          <w:lang w:val="en-GB"/>
        </w:rPr>
        <w:t>8000 g</w:t>
      </w:r>
      <w:r w:rsidR="00126B46" w:rsidRPr="00C03B49">
        <w:rPr>
          <w:rFonts w:cstheme="minorHAnsi"/>
          <w:lang w:val="en-GB"/>
        </w:rPr>
        <w:t xml:space="preserve">, </w:t>
      </w:r>
      <w:r w:rsidR="00126B46" w:rsidRPr="00C03B49">
        <w:rPr>
          <w:rFonts w:cstheme="minorHAnsi"/>
          <w:lang w:val="en-GB"/>
        </w:rPr>
        <w:t>5 min</w:t>
      </w:r>
      <w:r w:rsidR="00126B46" w:rsidRPr="00C03B49">
        <w:rPr>
          <w:rFonts w:cstheme="minorHAnsi"/>
          <w:lang w:val="en-GB"/>
        </w:rPr>
        <w:t xml:space="preserve">, </w:t>
      </w:r>
      <w:r w:rsidR="00126B46" w:rsidRPr="00C03B49">
        <w:rPr>
          <w:rFonts w:cstheme="minorHAnsi"/>
          <w:lang w:val="en-GB"/>
        </w:rPr>
        <w:t>4</w:t>
      </w:r>
      <w:r w:rsidR="00126B46" w:rsidRPr="00C03B49">
        <w:rPr>
          <w:rFonts w:cstheme="minorHAnsi"/>
          <w:vertAlign w:val="superscript"/>
          <w:lang w:val="en-GB"/>
        </w:rPr>
        <w:t>o</w:t>
      </w:r>
      <w:r w:rsidR="00126B46" w:rsidRPr="00C03B49">
        <w:rPr>
          <w:rFonts w:cstheme="minorHAnsi"/>
          <w:lang w:val="en-GB"/>
        </w:rPr>
        <w:t>C</w:t>
      </w:r>
      <w:r w:rsidR="00126B46" w:rsidRPr="00C03B49">
        <w:rPr>
          <w:rFonts w:cstheme="minorHAnsi"/>
          <w:lang w:val="en-GB"/>
        </w:rPr>
        <w:t>)</w:t>
      </w:r>
      <w:r w:rsidRPr="00C03B49">
        <w:rPr>
          <w:rFonts w:cstheme="minorHAnsi"/>
          <w:lang w:val="en-GB"/>
        </w:rPr>
        <w:t xml:space="preserve">. The supernatant was discarded </w:t>
      </w:r>
      <w:r w:rsidR="00126B46" w:rsidRPr="00C03B49">
        <w:rPr>
          <w:rFonts w:cstheme="minorHAnsi"/>
          <w:lang w:val="en-GB"/>
        </w:rPr>
        <w:t>once more, again resuspended in 2 mL saline solution</w:t>
      </w:r>
      <w:r w:rsidRPr="00C03B49">
        <w:rPr>
          <w:rFonts w:cstheme="minorHAnsi"/>
          <w:lang w:val="en-GB"/>
        </w:rPr>
        <w:t xml:space="preserve"> and </w:t>
      </w:r>
      <w:r w:rsidR="00126B46" w:rsidRPr="00C03B49">
        <w:rPr>
          <w:rFonts w:cstheme="minorHAnsi"/>
          <w:lang w:val="en-GB"/>
        </w:rPr>
        <w:t xml:space="preserve">centrifuged </w:t>
      </w:r>
      <w:r w:rsidR="00126B46" w:rsidRPr="00C03B49">
        <w:rPr>
          <w:rFonts w:cstheme="minorHAnsi"/>
          <w:lang w:val="en-GB"/>
        </w:rPr>
        <w:t>(8000 g, 5 min, 4</w:t>
      </w:r>
      <w:r w:rsidR="00126B46" w:rsidRPr="00C03B49">
        <w:rPr>
          <w:rFonts w:cstheme="minorHAnsi"/>
          <w:vertAlign w:val="superscript"/>
          <w:lang w:val="en-GB"/>
        </w:rPr>
        <w:t>o</w:t>
      </w:r>
      <w:r w:rsidR="00126B46" w:rsidRPr="00C03B49">
        <w:rPr>
          <w:rFonts w:cstheme="minorHAnsi"/>
          <w:lang w:val="en-GB"/>
        </w:rPr>
        <w:t>C)</w:t>
      </w:r>
      <w:r w:rsidR="00126B46" w:rsidRPr="00C03B49">
        <w:rPr>
          <w:rFonts w:cstheme="minorHAnsi"/>
          <w:lang w:val="en-GB"/>
        </w:rPr>
        <w:t xml:space="preserve">. After the third centrifugation, the supernatant was discarded and the sample was snap-frozen using liquid nitrogen and stored at </w:t>
      </w:r>
      <w:r w:rsidRPr="00C03B49">
        <w:rPr>
          <w:rFonts w:cstheme="minorHAnsi"/>
          <w:lang w:val="en-GB"/>
        </w:rPr>
        <w:t>-80</w:t>
      </w:r>
      <w:r w:rsidRPr="00C03B49">
        <w:rPr>
          <w:rFonts w:cstheme="minorHAnsi"/>
          <w:vertAlign w:val="superscript"/>
          <w:lang w:val="en-GB"/>
        </w:rPr>
        <w:t>o</w:t>
      </w:r>
      <w:r w:rsidRPr="00C03B49">
        <w:rPr>
          <w:rFonts w:cstheme="minorHAnsi"/>
          <w:lang w:val="en-GB"/>
        </w:rPr>
        <w:t xml:space="preserve">C until further analysis. </w:t>
      </w:r>
      <w:r w:rsidR="00126B46" w:rsidRPr="00C03B49">
        <w:rPr>
          <w:rFonts w:cstheme="minorHAnsi"/>
          <w:lang w:val="en-GB"/>
        </w:rPr>
        <w:t>For each timepoint, d</w:t>
      </w:r>
      <w:r w:rsidRPr="00C03B49">
        <w:rPr>
          <w:rFonts w:cstheme="minorHAnsi"/>
          <w:lang w:val="en-GB"/>
        </w:rPr>
        <w:t xml:space="preserve">uplicate samples were </w:t>
      </w:r>
      <w:r w:rsidR="00126B46" w:rsidRPr="00C03B49">
        <w:rPr>
          <w:rFonts w:cstheme="minorHAnsi"/>
          <w:lang w:val="en-GB"/>
        </w:rPr>
        <w:t>taken</w:t>
      </w:r>
      <w:r w:rsidRPr="00C03B49">
        <w:rPr>
          <w:rFonts w:cstheme="minorHAnsi"/>
          <w:lang w:val="en-GB"/>
        </w:rPr>
        <w:t>.</w:t>
      </w:r>
    </w:p>
    <w:p w14:paraId="252CB142" w14:textId="35960284" w:rsidR="00130CF0" w:rsidRPr="00C03B49" w:rsidRDefault="00EC36CF" w:rsidP="00344467">
      <w:pPr>
        <w:spacing w:after="120"/>
        <w:jc w:val="both"/>
        <w:rPr>
          <w:rFonts w:cstheme="minorHAnsi"/>
          <w:lang w:val="en-GB"/>
        </w:rPr>
      </w:pPr>
      <w:r w:rsidRPr="00C03B49">
        <w:rPr>
          <w:rFonts w:cstheme="minorHAnsi"/>
          <w:lang w:val="en-GB"/>
        </w:rPr>
        <w:t xml:space="preserve">Proteomics measurements were performed </w:t>
      </w:r>
      <w:r w:rsidR="007652DF" w:rsidRPr="00C03B49">
        <w:rPr>
          <w:rFonts w:cstheme="minorHAnsi"/>
          <w:lang w:val="en-GB"/>
        </w:rPr>
        <w:t xml:space="preserve">and data were subsequently mapped </w:t>
      </w:r>
      <w:r w:rsidR="007652DF" w:rsidRPr="00C03B49">
        <w:rPr>
          <w:rFonts w:cstheme="minorHAnsi"/>
          <w:lang w:val="en-GB"/>
        </w:rPr>
        <w:t xml:space="preserve">using the proteome database from </w:t>
      </w:r>
      <w:r w:rsidR="007652DF" w:rsidRPr="00C03B49">
        <w:rPr>
          <w:rFonts w:cstheme="minorHAnsi"/>
          <w:i/>
          <w:iCs/>
          <w:lang w:val="en-GB"/>
        </w:rPr>
        <w:t xml:space="preserve">Saccharomyces cerevisiae </w:t>
      </w:r>
      <w:r w:rsidR="007652DF" w:rsidRPr="00C03B49">
        <w:rPr>
          <w:rFonts w:cstheme="minorHAnsi"/>
          <w:lang w:val="en-GB"/>
        </w:rPr>
        <w:t xml:space="preserve">(downloaded from </w:t>
      </w:r>
      <w:proofErr w:type="spellStart"/>
      <w:r w:rsidR="007652DF" w:rsidRPr="00C03B49">
        <w:rPr>
          <w:rFonts w:cstheme="minorHAnsi"/>
          <w:lang w:val="en-GB"/>
        </w:rPr>
        <w:t>Uniprot</w:t>
      </w:r>
      <w:proofErr w:type="spellEnd"/>
      <w:r w:rsidR="007652DF" w:rsidRPr="00C03B49">
        <w:rPr>
          <w:rFonts w:cstheme="minorHAnsi"/>
          <w:lang w:val="en-GB"/>
        </w:rPr>
        <w:t xml:space="preserve">, </w:t>
      </w:r>
      <w:proofErr w:type="spellStart"/>
      <w:r w:rsidR="007652DF" w:rsidRPr="00C03B49">
        <w:rPr>
          <w:rFonts w:cstheme="minorHAnsi"/>
          <w:i/>
          <w:iCs/>
          <w:lang w:val="en-GB"/>
        </w:rPr>
        <w:t>S.cerevisiae</w:t>
      </w:r>
      <w:proofErr w:type="spellEnd"/>
      <w:r w:rsidR="007652DF" w:rsidRPr="00C03B49">
        <w:rPr>
          <w:rFonts w:cstheme="minorHAnsi"/>
          <w:lang w:val="en-GB"/>
        </w:rPr>
        <w:t xml:space="preserve"> CEN.PK113-7D, ID:UP000013192, December 2019) </w:t>
      </w:r>
      <w:r w:rsidR="007652DF" w:rsidRPr="00C03B49">
        <w:rPr>
          <w:rFonts w:cstheme="minorHAnsi"/>
          <w:lang w:val="en-GB"/>
        </w:rPr>
        <w:fldChar w:fldCharType="begin"/>
      </w:r>
      <w:r w:rsidR="007652DF" w:rsidRPr="00C03B49">
        <w:rPr>
          <w:rFonts w:cstheme="minorHAnsi"/>
          <w:lang w:val="en-GB"/>
        </w:rPr>
        <w:instrText xml:space="preserve"> ADDIN ZOTERO_ITEM CSL_CITATION {"citationID":"m5ujWYuo","properties":{"formattedCitation":"(Nijkamp et al., 2012)","plainCitation":"(Nijkamp et al., 2012)","noteIndex":0},"citationItems":[{"id":715,"uris":["http://zotero.org/users/4526189/items/F5DN4DJC"],"uri":["http://zotero.org/users/4526189/items/F5DN4DJC"],"itemData":{"id":715,"type":"article-journal","abstract":"Abstract\n            \n              Saccharomyces cerevisiae\n              CEN.PK 113-7D is widely used for metabolic engineering and systems biology research in industry and academia. We sequenced, assembled, annotated and analyzed its genome. Single-nucleotide variations (SNV), insertions/deletions (indels) and differences in genome organization compared to the reference strain\n              S. cerevisiae\n              S288C were analyzed. In addition to a few large deletions and duplications, nearly 3000 indels were identified in the CEN.PK113-7D genome relative to S288C. These differences were overrepresented in genes whose functions are related to transcriptional regulation and chromatin remodelling. Some of these variations were caused by unstable tandem repeats, suggesting an innate evolvability of the corresponding genes. Besides a previously characterized mutation in adenylate cyclase, the CEN.PK113-7D genome sequence revealed a significant enrichment of non-synonymous mutations in genes encoding for components of the cAMP signalling pathway. Some phenotypic characteristics of the CEN.PK113-7D strains were explained by the presence of additional specific metabolic genes relative to S288C. In particular, the presence of the\n              BIO1\n              and\n              BIO6\n              genes correlated with a biotin prototrophy of CEN.PK113-7D. Furthermore, the copy number, chromosomal location and sequences of the\n              MAL\n              loci were resolved. The assembled sequence reveals that CEN.PK113-7D has a mosaic genome that combines characteristics of laboratory strains and wild-industrial strains.","container-title":"Microbial Cell Factories","DOI":"10.1186/1475-2859-11-36","ISSN":"1475-2859","issue":"1","journalAbbreviation":"Microb Cell Fact","language":"en","page":"36","source":"DOI.org (Crossref)","title":"De novo sequencing, assembly and analysis of the genome of the laboratory strain Saccharomyces cerevisiae CEN.PK113-7D, a model for modern industrial biotechnology","volume":"11","author":[{"family":"Nijkamp","given":"Jurgen F"},{"family":"Broek","given":"Marcel","non-dropping-particle":"van den"},{"family":"Datema","given":"Erwin"},{"family":"Kok","given":"Stefan","non-dropping-particle":"de"},{"family":"Bosman","given":"Lizanne"},{"family":"Luttik","given":"Marijke A"},{"family":"Daran-Lapujade","given":"Pascale"},{"family":"Vongsangnak","given":"Wanwipa"},{"family":"Nielsen","given":"Jens"},{"family":"Heijne","given":"Wilbert HM"},{"family":"Klaassen","given":"Paul"},{"family":"Paddon","given":"Chris J"},{"family":"Platt","given":"Darren"},{"family":"Kötter","given":"Peter"},{"family":"Ham","given":"Roeland C","non-dropping-particle":"van"},{"family":"Reinders","given":"Marcel JT"},{"family":"Pronk","given":"Jack T"},{"family":"Ridder","given":"Dick","non-dropping-particle":"de"},{"family":"Daran","given":"Jean-Marc"}],"issued":{"date-parts":[["2012",12]]}}}],"schema":"https://github.com/citation-style-language/schema/raw/master/csl-citation.json"} </w:instrText>
      </w:r>
      <w:r w:rsidR="007652DF" w:rsidRPr="00C03B49">
        <w:rPr>
          <w:rFonts w:cstheme="minorHAnsi"/>
          <w:lang w:val="en-GB"/>
        </w:rPr>
        <w:fldChar w:fldCharType="separate"/>
      </w:r>
      <w:r w:rsidR="007652DF" w:rsidRPr="00C03B49">
        <w:rPr>
          <w:rFonts w:cstheme="minorHAnsi"/>
          <w:lang w:val="en-GB"/>
        </w:rPr>
        <w:t>(Nijkamp et al., 2012)</w:t>
      </w:r>
      <w:r w:rsidR="007652DF" w:rsidRPr="00C03B49">
        <w:rPr>
          <w:rFonts w:cstheme="minorHAnsi"/>
          <w:lang w:val="en-GB"/>
        </w:rPr>
        <w:fldChar w:fldCharType="end"/>
      </w:r>
      <w:r w:rsidRPr="00C03B49">
        <w:rPr>
          <w:rFonts w:cstheme="minorHAnsi"/>
          <w:lang w:val="en-GB"/>
        </w:rPr>
        <w:t xml:space="preserve">by DSM, Delft, The Netherlands. </w:t>
      </w:r>
      <w:r w:rsidR="00C238B6" w:rsidRPr="00C03B49">
        <w:rPr>
          <w:rFonts w:cstheme="minorHAnsi"/>
          <w:lang w:val="en-GB"/>
        </w:rPr>
        <w:t xml:space="preserve">The data was analysed for statistical differences using Perseus 1.6.10.45 </w:t>
      </w:r>
      <w:r w:rsidR="00C238B6" w:rsidRPr="00C03B49">
        <w:rPr>
          <w:rFonts w:cstheme="minorHAnsi"/>
          <w:lang w:val="en-GB"/>
        </w:rPr>
        <w:fldChar w:fldCharType="begin"/>
      </w:r>
      <w:r w:rsidR="00C238B6" w:rsidRPr="00C03B49">
        <w:rPr>
          <w:rFonts w:cstheme="minorHAnsi"/>
          <w:lang w:val="en-GB"/>
        </w:rPr>
        <w:instrText xml:space="preserve"> ADDIN ZOTERO_ITEM CSL_CITATION {"citationID":"LgPxktqE","properties":{"formattedCitation":"(Tyanova et al., 2016)","plainCitation":"(Tyanova et al., 2016)","noteIndex":0},"citationItems":[{"id":719,"uris":["http://zotero.org/users/4526189/items/4G7TB3LC"],"uri":["http://zotero.org/users/4526189/items/4G7TB3LC"],"itemData":{"id":719,"type":"article-journal","container-title":"Nature Methods","DOI":"10.1038/nmeth.3901","ISSN":"1548-7091, 1548-7105","issue":"9","journalAbbreviation":"Nat Methods","language":"en","page":"731-740","source":"DOI.org (Crossref)","title":"The Perseus computational platform for comprehensive analysis of (prote)omics data","volume":"13","author":[{"family":"Tyanova","given":"Stefka"},{"family":"Temu","given":"Tikira"},{"family":"Sinitcyn","given":"Pavel"},{"family":"Carlson","given":"Arthur"},{"family":"Hein","given":"Marco Y"},{"family":"Geiger","given":"Tamar"},{"family":"Mann","given":"Matthias"},{"family":"Cox","given":"Jürgen"}],"issued":{"date-parts":[["2016",9]]}}}],"schema":"https://github.com/citation-style-language/schema/raw/master/csl-citation.json"} </w:instrText>
      </w:r>
      <w:r w:rsidR="00C238B6" w:rsidRPr="00C03B49">
        <w:rPr>
          <w:rFonts w:cstheme="minorHAnsi"/>
          <w:lang w:val="en-GB"/>
        </w:rPr>
        <w:fldChar w:fldCharType="separate"/>
      </w:r>
      <w:r w:rsidR="00C238B6" w:rsidRPr="00C03B49">
        <w:rPr>
          <w:rFonts w:cstheme="minorHAnsi"/>
          <w:lang w:val="en-GB"/>
        </w:rPr>
        <w:t>(</w:t>
      </w:r>
      <w:proofErr w:type="spellStart"/>
      <w:r w:rsidR="00C238B6" w:rsidRPr="00C03B49">
        <w:rPr>
          <w:rFonts w:cstheme="minorHAnsi"/>
          <w:lang w:val="en-GB"/>
        </w:rPr>
        <w:t>Tyanova</w:t>
      </w:r>
      <w:proofErr w:type="spellEnd"/>
      <w:r w:rsidR="00C238B6" w:rsidRPr="00C03B49">
        <w:rPr>
          <w:rFonts w:cstheme="minorHAnsi"/>
          <w:lang w:val="en-GB"/>
        </w:rPr>
        <w:t xml:space="preserve"> et al., 2016)</w:t>
      </w:r>
      <w:r w:rsidR="00C238B6" w:rsidRPr="00C03B49">
        <w:rPr>
          <w:rFonts w:cstheme="minorHAnsi"/>
          <w:lang w:val="en-GB"/>
        </w:rPr>
        <w:fldChar w:fldCharType="end"/>
      </w:r>
      <w:r w:rsidR="00C238B6" w:rsidRPr="00C03B49">
        <w:rPr>
          <w:rFonts w:cstheme="minorHAnsi"/>
          <w:lang w:val="en-GB"/>
        </w:rPr>
        <w:t xml:space="preserve">. </w:t>
      </w:r>
      <w:r w:rsidR="004F51F3">
        <w:rPr>
          <w:rFonts w:cstheme="minorHAnsi"/>
          <w:lang w:val="en-GB"/>
        </w:rPr>
        <w:t xml:space="preserve">A two sample test was used to determine the significance of the fold change, </w:t>
      </w:r>
      <w:r w:rsidR="00C526BF" w:rsidRPr="00C03B49">
        <w:rPr>
          <w:rFonts w:cstheme="minorHAnsi"/>
          <w:lang w:val="en-GB"/>
        </w:rPr>
        <w:t xml:space="preserve">with a significance level threshold of </w:t>
      </w:r>
      <w:r w:rsidR="00C238B6" w:rsidRPr="00C03B49">
        <w:rPr>
          <w:rFonts w:cstheme="minorHAnsi"/>
          <w:lang w:val="en-GB"/>
        </w:rPr>
        <w:t>p &lt; 0.01</w:t>
      </w:r>
      <w:r w:rsidR="00C526BF" w:rsidRPr="00C03B49">
        <w:rPr>
          <w:rFonts w:cstheme="minorHAnsi"/>
          <w:lang w:val="en-GB"/>
        </w:rPr>
        <w:t xml:space="preserve">, and </w:t>
      </w:r>
      <w:r w:rsidR="004F51F3">
        <w:rPr>
          <w:rFonts w:cstheme="minorHAnsi"/>
          <w:lang w:val="en-GB"/>
        </w:rPr>
        <w:t xml:space="preserve">at least </w:t>
      </w:r>
      <w:r w:rsidR="00C526BF" w:rsidRPr="00C03B49">
        <w:rPr>
          <w:rFonts w:cstheme="minorHAnsi"/>
          <w:lang w:val="en-GB"/>
        </w:rPr>
        <w:t>2 unique peptides per protein.</w:t>
      </w:r>
    </w:p>
    <w:sectPr w:rsidR="00130CF0" w:rsidRPr="00C03B4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DA36C0"/>
    <w:multiLevelType w:val="multilevel"/>
    <w:tmpl w:val="26560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6BF"/>
    <w:rsid w:val="00033073"/>
    <w:rsid w:val="00126B46"/>
    <w:rsid w:val="00130CF0"/>
    <w:rsid w:val="002D6881"/>
    <w:rsid w:val="00344467"/>
    <w:rsid w:val="003767A5"/>
    <w:rsid w:val="004B06FA"/>
    <w:rsid w:val="004B5584"/>
    <w:rsid w:val="004F51F3"/>
    <w:rsid w:val="00510F1F"/>
    <w:rsid w:val="006A6191"/>
    <w:rsid w:val="007652DF"/>
    <w:rsid w:val="008F0C17"/>
    <w:rsid w:val="00C03B49"/>
    <w:rsid w:val="00C238B6"/>
    <w:rsid w:val="00C526BF"/>
    <w:rsid w:val="00EB238A"/>
    <w:rsid w:val="00EC36CF"/>
    <w:rsid w:val="00FA587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9C372"/>
  <w15:chartTrackingRefBased/>
  <w15:docId w15:val="{9A8DDD2E-6FDF-4265-8D92-9AD46261C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5481414">
      <w:bodyDiv w:val="1"/>
      <w:marLeft w:val="0"/>
      <w:marRight w:val="0"/>
      <w:marTop w:val="0"/>
      <w:marBottom w:val="0"/>
      <w:divBdr>
        <w:top w:val="none" w:sz="0" w:space="0" w:color="auto"/>
        <w:left w:val="none" w:sz="0" w:space="0" w:color="auto"/>
        <w:bottom w:val="none" w:sz="0" w:space="0" w:color="auto"/>
        <w:right w:val="none" w:sz="0" w:space="0" w:color="auto"/>
      </w:divBdr>
    </w:div>
    <w:div w:id="1386610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144</TotalTime>
  <Pages>1</Pages>
  <Words>1545</Words>
  <Characters>8500</Characters>
  <Application>Microsoft Office Word</Application>
  <DocSecurity>0</DocSecurity>
  <Lines>70</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Koen Verhagen</dc:creator>
  <cp:keywords/>
  <dc:description/>
  <cp:lastModifiedBy>Koen Verhagen</cp:lastModifiedBy>
  <cp:revision>1</cp:revision>
  <dcterms:created xsi:type="dcterms:W3CDTF">2022-01-24T12:36:00Z</dcterms:created>
  <dcterms:modified xsi:type="dcterms:W3CDTF">2022-01-24T15:00:00Z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zotero-version="5.0.96.3"&gt;&lt;session id="ER4VisYo"/&gt;&lt;style id="http://www.zotero.org/styles/elsevier-harvard" hasBibliography="1" bibliographyStyleHasBeenSet="0"/&gt;&lt;prefs&gt;&lt;pref name="fieldType" value="Field"/&gt;&lt;/prefs&gt;&lt;/data&gt;</vt:lpwstr>
  </property>
</Properties>
</file>